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ARIATT SOLUTIONS</w:t>
        <w:br/>
        <w:t>AI PREMIUM CLIENT SERVICES AGREEMENT</w:t>
      </w:r>
    </w:p>
    <w:p>
      <w:pPr>
        <w:jc w:val="center"/>
      </w:pPr>
      <w:r>
        <w:rPr>
          <w:i/>
        </w:rPr>
        <w:t>AI-POWERED LEAD GENERATION &amp; MARKETING SERVICES</w:t>
      </w:r>
    </w:p>
    <w:p>
      <w:r>
        <w:t>This AI Premium Client Services Agreement (“Agreement”) is made as of [Effective Date] by and between the Client identified below (“Client”) and Ariatt Solutions, LLC, with its principal place of business in Washoe County, Nevada (“Provider”).</w:t>
      </w:r>
    </w:p>
    <w:p>
      <w:pPr>
        <w:pStyle w:val="Heading1"/>
      </w:pPr>
      <w:r>
        <w:t>CLIENT INFORMATION</w:t>
      </w:r>
    </w:p>
    <w:p>
      <w:r>
        <w:t>Client Legal Name: ______________________________________________</w:t>
      </w:r>
    </w:p>
    <w:p>
      <w:r>
        <w:t>Entity Type: _______________________  Principal Address: ______________________________________________</w:t>
      </w:r>
    </w:p>
    <w:p>
      <w:r>
        <w:t>Primary Contact: __________________________________  Email: __________________________________</w:t>
      </w:r>
    </w:p>
    <w:p>
      <w:r>
        <w:t>Phone: ___________________________________________</w:t>
      </w:r>
    </w:p>
    <w:p>
      <w:pPr>
        <w:pStyle w:val="Heading1"/>
      </w:pPr>
      <w:r>
        <w:t>1. DEFINITIONS</w:t>
      </w:r>
    </w:p>
    <w:p>
      <w:r>
        <w:t>“Lead(s)” means prospective customer or business contact information and related data generated and delivered to Client through the Services. “Services” means the lead generation, advertising, social media, content, automation, and related services identified in Exhibit A. “Confidential Information” means non-public business, technical, financial, customer, campaign, or operational information.</w:t>
      </w:r>
    </w:p>
    <w:p>
      <w:pPr>
        <w:pStyle w:val="Heading1"/>
      </w:pPr>
      <w:r>
        <w:t>2. SERVICES; SCOPE</w:t>
      </w:r>
    </w:p>
    <w:p>
      <w:r>
        <w:t>Provider will perform the AI Premium Services described in Exhibit A. Provider will use commercially reasonable efforts to deliver the agreed campaign activities, lead volume, content, reporting, and automation services. Specific performance outcomes, including sales or conversion rates, are not guaranteed unless expressly stated in this Agreement or Exhibit A.</w:t>
      </w:r>
    </w:p>
    <w:p>
      <w:pPr>
        <w:pStyle w:val="Heading1"/>
      </w:pPr>
      <w:r>
        <w:t>3. TERM AND TERMINATION</w:t>
      </w:r>
    </w:p>
    <w:p>
      <w:pPr>
        <w:pStyle w:val="ListBullet"/>
      </w:pPr>
      <w:r>
        <w:t>Initial Term: 12 months beginning on the Effective Date, unless earlier terminated under this Agreement.</w:t>
      </w:r>
    </w:p>
    <w:p>
      <w:pPr>
        <w:pStyle w:val="ListBullet"/>
      </w:pPr>
      <w:r>
        <w:t>Automatic Renewal: The Agreement renews for successive annual terms unless either party provides written cancellation at least 30 days before the end of the then-current term.</w:t>
      </w:r>
    </w:p>
    <w:p>
      <w:pPr>
        <w:pStyle w:val="ListBullet"/>
      </w:pPr>
      <w:r>
        <w:t>Termination for Convenience: Either party may terminate with 30 days’ written notice.</w:t>
      </w:r>
    </w:p>
    <w:p>
      <w:pPr>
        <w:pStyle w:val="ListBullet"/>
      </w:pPr>
      <w:r>
        <w:t>Termination for Cause: Either party may terminate for a material breach that remains uncured 30 days after written notice. Immediate termination may occur for insolvency, unlawful conduct, or material violations of applicable law.</w:t>
      </w:r>
    </w:p>
    <w:p>
      <w:pPr>
        <w:pStyle w:val="ListBullet"/>
      </w:pPr>
      <w:r>
        <w:t>Effect of Termination: Client remains responsible for all fees for Services performed through the effective termination date and any other amounts properly due.</w:t>
      </w:r>
    </w:p>
    <w:p>
      <w:pPr>
        <w:pStyle w:val="Heading1"/>
      </w:pPr>
      <w:r>
        <w:t>4. FEES AND PAYMENT</w:t>
      </w:r>
    </w:p>
    <w:p>
      <w:r>
        <w:t>Monthly Service Fee: $3,999 per month.</w:t>
        <w:br/>
        <w:t>One-Time Setup Fee: $1,000.</w:t>
        <w:br/>
        <w:t>Billing: Monthly, unless otherwise stated in a signed amendment or order form.</w:t>
        <w:br/>
        <w:t>Late Payments: 1.5% per month or the maximum amount permitted by applicable law, whichever is lower.</w:t>
      </w:r>
    </w:p>
    <w:p>
      <w:pPr>
        <w:pStyle w:val="Heading1"/>
      </w:pPr>
      <w:r>
        <w:t>5. LEAD ACCEPTANCE AND QUALITY</w:t>
      </w:r>
    </w:p>
    <w:p>
      <w:r>
        <w:t>Client will have one (1) business day after delivery to identify and reject Leads that do not meet the agreed criteria in Exhibit A. Eligible rejected Leads will be addressed through replacement, credit, or other remedy specified in Exhibit B. Provider does not guarantee a particular sales, revenue, or conversion rate.</w:t>
      </w:r>
    </w:p>
    <w:p>
      <w:pPr>
        <w:pStyle w:val="Heading1"/>
      </w:pPr>
      <w:r>
        <w:t>6. DATA PROTECTION AND COMPLIANCE</w:t>
      </w:r>
    </w:p>
    <w:p>
      <w:r>
        <w:t>The parties will comply with applicable data protection, advertising, communications, and consumer-protection laws, including TCPA, CAN-SPAM, CCPA/CPRA, and GDPR where applicable. Data handling, security, retention, and breach procedures are described in Exhibit C.</w:t>
      </w:r>
    </w:p>
    <w:p>
      <w:pPr>
        <w:pStyle w:val="Heading1"/>
      </w:pPr>
      <w:r>
        <w:t>7. CONFIDENTIALITY</w:t>
      </w:r>
    </w:p>
    <w:p>
      <w:r>
        <w:t>Each party will protect the other party’s Confidential Information using at least reasonable care and will use it only as necessary to perform or receive the Services. Confidentiality obligations survive termination for three (3) years; trade-secret obligations continue for the period permitted by law.</w:t>
      </w:r>
    </w:p>
    <w:p>
      <w:pPr>
        <w:pStyle w:val="Heading1"/>
      </w:pPr>
      <w:r>
        <w:t>8. INTELLECTUAL PROPERTY</w:t>
      </w:r>
    </w:p>
    <w:p>
      <w:pPr>
        <w:pStyle w:val="ListBullet"/>
      </w:pPr>
      <w:r>
        <w:t>Provider retains ownership of its underlying technology, systems, processes, templates, automation frameworks, methodologies, and know-how.</w:t>
      </w:r>
    </w:p>
    <w:p>
      <w:pPr>
        <w:pStyle w:val="ListBullet"/>
      </w:pPr>
      <w:r>
        <w:t>Client receives a non-exclusive license to use campaign materials, reports, and delivered Lead data provided specifically for Client’s business, subject to applicable third-party rights and this Agreement.</w:t>
      </w:r>
    </w:p>
    <w:p>
      <w:pPr>
        <w:pStyle w:val="ListBullet"/>
      </w:pPr>
      <w:r>
        <w:t>Pre-existing Client materials remain Client property.</w:t>
      </w:r>
    </w:p>
    <w:p>
      <w:pPr>
        <w:pStyle w:val="ListBullet"/>
      </w:pPr>
      <w:r>
        <w:t>Customized work product is licensed or assigned only as expressly stated in Exhibit A.</w:t>
      </w:r>
    </w:p>
    <w:p>
      <w:pPr>
        <w:pStyle w:val="Heading1"/>
      </w:pPr>
      <w:r>
        <w:t>9. REPRESENTATIONS AND WARRANTIES</w:t>
      </w:r>
    </w:p>
    <w:p>
      <w:r>
        <w:t>Each party represents that it has authority to enter this Agreement. Provider represents that it will perform the Services in a commercially reasonable manner and will not knowingly provide fraudulent or stolen data. Except as expressly stated, Services are provided “AS IS” and no additional warranties are made.</w:t>
      </w:r>
    </w:p>
    <w:p>
      <w:pPr>
        <w:pStyle w:val="Heading1"/>
      </w:pPr>
      <w:r>
        <w:t>10. INDEMNIFICATION</w:t>
      </w:r>
    </w:p>
    <w:p>
      <w:r>
        <w:t>Provider will indemnify Client for third-party claims arising from Provider’s breach of applicable data law, gross negligence, or willful misconduct, subject to the limitations of this Agreement. Client will indemnify Provider for claims arising from Client’s misuse of Leads, Client-provided materials, or Client’s breach of applicable compliance obligations. The indemnified party must provide prompt notice and reasonable cooperation.</w:t>
      </w:r>
    </w:p>
    <w:p>
      <w:pPr>
        <w:pStyle w:val="Heading1"/>
      </w:pPr>
      <w:r>
        <w:t>11. LIMITATION OF LIABILITY</w:t>
      </w:r>
    </w:p>
    <w:p>
      <w:r>
        <w:t>Neither party will be liable for consequential, incidental, punitive, special, or indirect damages. Except for willful misconduct, applicable indemnification obligations, or breaches of confidentiality or data-protection obligations to the extent such exclusion is legally permitted, each party’s aggregate liability will not exceed the total fees paid under this Agreement during the preceding twelve (12) months.</w:t>
      </w:r>
    </w:p>
    <w:p>
      <w:pPr>
        <w:pStyle w:val="Heading1"/>
      </w:pPr>
      <w:r>
        <w:t>12. INSURANCE</w:t>
      </w:r>
    </w:p>
    <w:p>
      <w:r>
        <w:t>Provider will maintain commercially reasonable insurance applicable to its Services, including commercial general liability and cyber/privacy coverage, subject to the coverage terms and limits described in Exhibit C.</w:t>
      </w:r>
    </w:p>
    <w:p>
      <w:pPr>
        <w:pStyle w:val="Heading1"/>
      </w:pPr>
      <w:r>
        <w:t>13. AUDIT RIGHTS</w:t>
      </w:r>
    </w:p>
    <w:p>
      <w:r>
        <w:t>Where applicable, Client may audit relevant consent records and data-handling practices upon reasonable notice during normal business hours, subject to confidentiality, security, and reasonable burden limitations.</w:t>
      </w:r>
    </w:p>
    <w:p>
      <w:pPr>
        <w:pStyle w:val="Heading1"/>
      </w:pPr>
      <w:r>
        <w:t>14. INDEPENDENT CONTRACTOR</w:t>
      </w:r>
    </w:p>
    <w:p>
      <w:r>
        <w:t>Provider is an independent contractor. Nothing in this Agreement creates an employment relationship, partnership, joint venture, franchise, or agency relationship between the parties.</w:t>
      </w:r>
    </w:p>
    <w:p>
      <w:pPr>
        <w:pStyle w:val="Heading1"/>
      </w:pPr>
      <w:r>
        <w:t>15. ASSIGNMENT</w:t>
      </w:r>
    </w:p>
    <w:p>
      <w:r>
        <w:t>Neither party may assign this Agreement without the other party’s written consent, except to an affiliate or successor in interest. If Client transfers ownership, the new ownership remains subject to this Agreement.</w:t>
      </w:r>
    </w:p>
    <w:p>
      <w:pPr>
        <w:pStyle w:val="Heading1"/>
      </w:pPr>
      <w:r>
        <w:t>16. FORCE MAJEURE</w:t>
      </w:r>
    </w:p>
    <w:p>
      <w:r>
        <w:t>Neither party will be liable for delay, interruption, or failure to perform any obligation under this Agreement to the extent caused by circumstances beyond that party’s reasonable control, including acts of God, natural disasters, fire, flood, severe weather, epidemic or pandemic, war, terrorism, civil unrest, governmental action or orders, labor disputes, utility or telecommunications failures, internet or hosting outages, cyberattacks not caused by the affected party’s failure to use reasonable security measures, supply-chain disruptions, or failure of third-party platforms or service providers. The affected party will promptly notify the other party when reasonably practicable and will use commercially reasonable efforts to mitigate the impact and resume performance. Payment obligations for Services already performed are not excused by force majeure. If a force majeure event continues for more than sixty (60) consecutive days and materially prevents performance, either party may terminate the affected Services upon written notice without liability for future performance.</w:t>
      </w:r>
    </w:p>
    <w:p>
      <w:pPr>
        <w:pStyle w:val="Heading1"/>
      </w:pPr>
      <w:r>
        <w:t>17. NOTICES</w:t>
      </w:r>
    </w:p>
    <w:p>
      <w:r>
        <w:t>Notices must be delivered to the addresses and email contacts designated by the parties. Notices are effective upon confirmed receipt by email or physical delivery.</w:t>
      </w:r>
    </w:p>
    <w:p>
      <w:pPr>
        <w:pStyle w:val="Heading1"/>
      </w:pPr>
      <w:r>
        <w:t>18. DISPUTE RESOLUTION; GOVERNING LAW</w:t>
      </w:r>
    </w:p>
    <w:p>
      <w:r>
        <w:t>The parties will first attempt in good faith to resolve disputes through direct negotiation. If unresolved, the parties will proceed to mediation. If mediation does not resolve the dispute, the matter will be resolved by binding arbitration in Washoe County, Nevada, under applicable Nevada arbitration law. Nevada law governs this Agreement.</w:t>
      </w:r>
    </w:p>
    <w:p>
      <w:pPr>
        <w:pStyle w:val="Heading1"/>
      </w:pPr>
      <w:r>
        <w:t>19. MISCELLANEOUS</w:t>
      </w:r>
    </w:p>
    <w:p>
      <w:pPr>
        <w:pStyle w:val="ListBullet"/>
      </w:pPr>
      <w:r>
        <w:t>Entire Agreement: This Agreement and its Exhibits contain the entire agreement between the parties concerning the Services.</w:t>
      </w:r>
    </w:p>
    <w:p>
      <w:pPr>
        <w:pStyle w:val="ListBullet"/>
      </w:pPr>
      <w:r>
        <w:t>Amendments: Amendments must be in writing and signed by both parties.</w:t>
      </w:r>
    </w:p>
    <w:p>
      <w:pPr>
        <w:pStyle w:val="ListBullet"/>
      </w:pPr>
      <w:r>
        <w:t>Severability: If any provision is held invalid, the remaining provisions remain effective.</w:t>
      </w:r>
    </w:p>
    <w:p>
      <w:pPr>
        <w:pStyle w:val="ListBullet"/>
      </w:pPr>
      <w:r>
        <w:t>Waiver: Failure to enforce a provision is not a waiver of future enforcement.</w:t>
      </w:r>
    </w:p>
    <w:p>
      <w:pPr>
        <w:pStyle w:val="ListBullet"/>
      </w:pPr>
      <w:r>
        <w:t>Counterparts and Electronic Signatures: This Agreement may be executed in counterparts and by electronic signature, each of which is deemed an original.</w:t>
      </w:r>
    </w:p>
    <w:p>
      <w:pPr>
        <w:pStyle w:val="Heading1"/>
      </w:pPr>
      <w:r>
        <w:t>EXHIBIT A — SERVICES, DELIVERABLES &amp; KPIs</w:t>
      </w:r>
    </w:p>
    <w:p>
      <w:r>
        <w:t>AI Premium package includes:</w:t>
      </w:r>
    </w:p>
    <w:p>
      <w:pPr>
        <w:pStyle w:val="ListBullet"/>
      </w:pPr>
      <w:r>
        <w:t>AI-powered lead generation and advanced prospecting services.</w:t>
      </w:r>
    </w:p>
    <w:p>
      <w:pPr>
        <w:pStyle w:val="ListBullet"/>
      </w:pPr>
      <w:r>
        <w:t>Instagram and Facebook marketing support.</w:t>
      </w:r>
    </w:p>
    <w:p>
      <w:pPr>
        <w:pStyle w:val="ListBullet"/>
      </w:pPr>
      <w:r>
        <w:t>LinkedIn marketing support.</w:t>
      </w:r>
    </w:p>
    <w:p>
      <w:pPr>
        <w:pStyle w:val="ListBullet"/>
      </w:pPr>
      <w:r>
        <w:t>Facebook advertising campaigns.</w:t>
      </w:r>
    </w:p>
    <w:p>
      <w:pPr>
        <w:pStyle w:val="ListBullet"/>
      </w:pPr>
      <w:r>
        <w:t>Instagram advertising campaigns.</w:t>
      </w:r>
    </w:p>
    <w:p>
      <w:pPr>
        <w:pStyle w:val="ListBullet"/>
      </w:pPr>
      <w:r>
        <w:t>Nextdoor advertising campaigns.</w:t>
      </w:r>
    </w:p>
    <w:p>
      <w:pPr>
        <w:pStyle w:val="ListBullet"/>
      </w:pPr>
      <w:r>
        <w:t>Content creation for agreed campaigns.</w:t>
      </w:r>
    </w:p>
    <w:p>
      <w:pPr>
        <w:pStyle w:val="ListBullet"/>
      </w:pPr>
      <w:r>
        <w:t>Domains and inbox setup/support as applicable to the campaign.</w:t>
      </w:r>
    </w:p>
    <w:p>
      <w:pPr>
        <w:pStyle w:val="ListBullet"/>
      </w:pPr>
      <w:r>
        <w:t>AI receptionist functionality and related appointment/lead-handling automation, as applicable.</w:t>
      </w:r>
    </w:p>
    <w:p>
      <w:pPr>
        <w:pStyle w:val="ListBullet"/>
      </w:pPr>
      <w:r>
        <w:t>AI workspace support for agreed lead-generation and marketing workflows.</w:t>
      </w:r>
    </w:p>
    <w:p>
      <w:pPr>
        <w:pStyle w:val="ListBullet"/>
      </w:pPr>
      <w:r>
        <w:t>480 targeted Leads per month, distributed every Monday or according to the agreed delivery schedule.</w:t>
      </w:r>
    </w:p>
    <w:p>
      <w:pPr>
        <w:pStyle w:val="ListBullet"/>
      </w:pPr>
      <w:r>
        <w:t>Lead targeting, qualification, campaign optimization, and performance tracking.</w:t>
      </w:r>
    </w:p>
    <w:p>
      <w:r>
        <w:t>Target Lead Volume: 480 leads per month, distributed according to the campaign schedule agreed during onboarding.</w:t>
      </w:r>
    </w:p>
    <w:p>
      <w:r>
        <w:t>Advertising / Marketing Channels: Facebook, Instagram, LinkedIn, Nextdoor.</w:t>
      </w:r>
    </w:p>
    <w:p>
      <w:r>
        <w:t>Lead Definition: Lead records may include name, email, phone, location, source, campaign information, product/service interest, and other fields agreed during onboarding, subject to lawful collection and applicable platform rules.</w:t>
      </w:r>
    </w:p>
    <w:p>
      <w:r>
        <w:t>Client Acceptance: Client has one (1) business day to report duplicate, invalid, or otherwise non-conforming Leads. Provider will address qualifying issues under the agreed replacement/credit policy.</w:t>
      </w:r>
    </w:p>
    <w:p>
      <w:r>
        <w:t>Reporting: Campaign and lead-generation performance will be reported through the agreed dashboard, report, or communication method.</w:t>
      </w:r>
    </w:p>
    <w:p>
      <w:r>
        <w:t>AI Premium provides a broader multi-channel acquisition and automation structure intended for businesses ready to operate at a higher lead volume and use AI-assisted lead handling and appointment workflows.</w:t>
      </w:r>
    </w:p>
    <w:p>
      <w:pPr>
        <w:pStyle w:val="Heading1"/>
      </w:pPr>
      <w:r>
        <w:t>EXHIBIT B — PRICING, PAYMENT &amp; REFUNDS</w:t>
      </w:r>
    </w:p>
    <w:p>
      <w:r>
        <w:t>Monthly Package Price: $3,999.</w:t>
      </w:r>
    </w:p>
    <w:p>
      <w:r>
        <w:t>One-Time Setup Fee: $1,000.</w:t>
      </w:r>
    </w:p>
    <w:p>
      <w:r>
        <w:t>Billing Cycle: Monthly. Payment is due according to the invoice or payment authorization established at onboarding.</w:t>
      </w:r>
    </w:p>
    <w:p>
      <w:r>
        <w:t>Refunds/Credits: Eligible rejected Leads will be replaced or credited according to the campaign’s agreed lead-quality policy. Service fees are otherwise non-refundable except where required by law or expressly agreed in writing.</w:t>
      </w:r>
    </w:p>
    <w:p>
      <w:r>
        <w:t>Scope or pricing changes require a written amendment or signed change order.</w:t>
      </w:r>
    </w:p>
    <w:p>
      <w:r>
        <w:t>Client is responsible for applicable taxes unless Provider is legally required to collect them.</w:t>
      </w:r>
    </w:p>
    <w:p>
      <w:pPr>
        <w:pStyle w:val="Heading1"/>
      </w:pPr>
      <w:r>
        <w:t>EXHIBIT C — DATA PROTECTION, SECURITY &amp; COMPLIANCE</w:t>
      </w:r>
    </w:p>
    <w:p>
      <w:pPr>
        <w:pStyle w:val="ListBullet"/>
      </w:pPr>
      <w:r>
        <w:t>Lawful Collection: Provider will use commercially reasonable procedures to collect and process Lead information in accordance with applicable law and platform requirements.</w:t>
      </w:r>
    </w:p>
    <w:p>
      <w:pPr>
        <w:pStyle w:val="ListBullet"/>
      </w:pPr>
      <w:r>
        <w:t>Security: Provider will use reasonable administrative, technical, and physical safeguards, including access controls and secure transmission/storage practices appropriate to the Services.</w:t>
      </w:r>
    </w:p>
    <w:p>
      <w:pPr>
        <w:pStyle w:val="ListBullet"/>
      </w:pPr>
      <w:r>
        <w:t>Data Retention: Data will be retained only as reasonably necessary for the Services, legal obligations, dispute resolution, and legitimate business purposes.</w:t>
      </w:r>
    </w:p>
    <w:p>
      <w:pPr>
        <w:pStyle w:val="ListBullet"/>
      </w:pPr>
      <w:r>
        <w:t>Breach Notification: Provider will notify Client without unreasonable delay after confirming a security incident that materially affects Client-controlled data, subject to applicable law.</w:t>
      </w:r>
    </w:p>
    <w:p>
      <w:pPr>
        <w:pStyle w:val="ListBullet"/>
      </w:pPr>
      <w:r>
        <w:t>Third Parties: Provider may use subcontractors, advertising platforms, CRM systems, hosting providers, and other service providers reasonably necessary to deliver the Services.</w:t>
      </w:r>
    </w:p>
    <w:p>
      <w:pPr>
        <w:pStyle w:val="ListBullet"/>
      </w:pPr>
      <w:r>
        <w:t>Insurance: Provider will maintain commercially reasonable cyber/privacy coverage consistent with the source agreement's insurance requirements.</w:t>
      </w:r>
    </w:p>
    <w:p>
      <w:pPr>
        <w:pStyle w:val="Heading1"/>
      </w:pPr>
      <w:r>
        <w:t>EXHIBIT D — SERVICE LEVELS &amp; SUPPORT</w:t>
      </w:r>
    </w:p>
    <w:p>
      <w:r>
        <w:t>Provider will provide commercially reasonable support for campaign, lead delivery, and platform-related issues. Specific support response targets, if any, may be documented during onboarding or in a signed service order. Third-party platform outages and restrictions are subject to Section 16 (Force Majeure) where applicable.</w:t>
      </w:r>
    </w:p>
    <w:p>
      <w:pPr>
        <w:pStyle w:val="Heading1"/>
      </w:pPr>
      <w:r>
        <w:t>EXHIBIT E — REPORTING &amp; METRICS</w:t>
      </w:r>
    </w:p>
    <w:p>
      <w:pPr>
        <w:pStyle w:val="ListBullet"/>
      </w:pPr>
      <w:r>
        <w:t>Lead volume and delivery status</w:t>
      </w:r>
    </w:p>
    <w:p>
      <w:pPr>
        <w:pStyle w:val="ListBullet"/>
      </w:pPr>
      <w:r>
        <w:t>Advertising/campaign activity</w:t>
      </w:r>
    </w:p>
    <w:p>
      <w:pPr>
        <w:pStyle w:val="ListBullet"/>
      </w:pPr>
      <w:r>
        <w:t>Engagement or contact-rate indicators where available</w:t>
      </w:r>
    </w:p>
    <w:p>
      <w:pPr>
        <w:pStyle w:val="ListBullet"/>
      </w:pPr>
      <w:r>
        <w:t>Cost and campaign performance metrics where available</w:t>
      </w:r>
    </w:p>
    <w:p>
      <w:pPr>
        <w:pStyle w:val="ListBullet"/>
      </w:pPr>
      <w:r>
        <w:t>Other agreed KPIs documented during onboarding</w:t>
      </w:r>
    </w:p>
    <w:p>
      <w:pPr>
        <w:pStyle w:val="Heading1"/>
      </w:pPr>
      <w:r>
        <w:t>EXHIBIT F — MARKETING USE &amp; TESTIMONIALS</w:t>
      </w:r>
    </w:p>
    <w:p>
      <w:r>
        <w:t>Provider may use aggregated and anonymized performance information for internal analysis and marketing. Use of Client’s name, logo, identifiable case study, or testimonial requires Client’s permission unless otherwise agreed in writing.</w:t>
      </w:r>
    </w:p>
    <w:p>
      <w:pPr>
        <w:pStyle w:val="Heading1"/>
      </w:pPr>
      <w:r>
        <w:t>EXHIBIT G — ONBOARDING CHECKLIST</w:t>
      </w:r>
    </w:p>
    <w:p>
      <w:pPr>
        <w:pStyle w:val="ListBullet"/>
      </w:pPr>
      <w:r>
        <w:t>Client legal/business information and authorized contacts</w:t>
      </w:r>
    </w:p>
    <w:p>
      <w:pPr>
        <w:pStyle w:val="ListBullet"/>
      </w:pPr>
      <w:r>
        <w:t>Billing and payment authorization</w:t>
      </w:r>
    </w:p>
    <w:p>
      <w:pPr>
        <w:pStyle w:val="ListBullet"/>
      </w:pPr>
      <w:r>
        <w:t>Target audience, service areas, offers, and campaign objectives</w:t>
      </w:r>
    </w:p>
    <w:p>
      <w:pPr>
        <w:pStyle w:val="ListBullet"/>
      </w:pPr>
      <w:r>
        <w:t>Brand assets, website/social access, and approved messaging</w:t>
      </w:r>
    </w:p>
    <w:p>
      <w:pPr>
        <w:pStyle w:val="ListBullet"/>
      </w:pPr>
      <w:r>
        <w:t>CRM, tracking, API, domain, inbox, advertising, or other platform access as applicable</w:t>
      </w:r>
    </w:p>
    <w:p>
      <w:pPr>
        <w:pStyle w:val="ListBullet"/>
      </w:pPr>
      <w:r>
        <w:t>Lead qualification criteria and disallowed contacts</w:t>
      </w:r>
    </w:p>
    <w:p>
      <w:pPr>
        <w:pStyle w:val="ListBullet"/>
      </w:pPr>
      <w:r>
        <w:t>Approval of campaign launch materials and timelines</w:t>
      </w:r>
    </w:p>
    <w:p>
      <w:pPr>
        <w:pStyle w:val="Heading1"/>
      </w:pPr>
      <w:r>
        <w:t>SIGNATURES AND ELECTRONIC SIGNATURE CONSENT</w:t>
      </w:r>
    </w:p>
    <w:p>
      <w:r>
        <w:t>By signing below, each party represents that its authorized representative has read, understood, and agreed to this Agreement and its Exhibits. The parties expressly consent to electronic signatures and agree that an electronic signature has the same legal effect as a handwritten signature to the extent permitted by applicable law.</w:t>
      </w:r>
    </w:p>
    <w:tbl>
      <w:tblPr>
        <w:tblW w:type="auto" w:w="0"/>
        <w:jc w:val="center"/>
        <w:tblLook w:firstColumn="1" w:firstRow="1" w:lastColumn="0" w:lastRow="0" w:noHBand="0" w:noVBand="1" w:val="04A0"/>
      </w:tblPr>
      <w:tblGrid>
        <w:gridCol w:w="4968"/>
        <w:gridCol w:w="4968"/>
      </w:tblGrid>
      <w:tr>
        <w:tc>
          <w:tcPr>
            <w:tcW w:type="dxa" w:w="4968"/>
            <w:vAlign w:val="center"/>
          </w:tcPr>
          <w:p>
            <w:r>
              <w:t>CLIENT</w:t>
            </w:r>
          </w:p>
        </w:tc>
        <w:tc>
          <w:tcPr>
            <w:tcW w:type="dxa" w:w="4968"/>
            <w:vAlign w:val="center"/>
          </w:tcPr>
          <w:p>
            <w:r>
              <w:t>ARIATT SOLUTIONS, LLC</w:t>
            </w:r>
          </w:p>
        </w:tc>
      </w:tr>
      <w:tr>
        <w:tc>
          <w:tcPr>
            <w:tcW w:type="dxa" w:w="4968"/>
            <w:vAlign w:val="center"/>
          </w:tcPr>
          <w:p>
            <w:r>
              <w:t>Name: ______________________________</w:t>
            </w:r>
          </w:p>
        </w:tc>
        <w:tc>
          <w:tcPr>
            <w:tcW w:type="dxa" w:w="4968"/>
            <w:vAlign w:val="center"/>
          </w:tcPr>
          <w:p>
            <w:r>
              <w:t>Name: ______________________________</w:t>
            </w:r>
          </w:p>
        </w:tc>
      </w:tr>
      <w:tr>
        <w:tc>
          <w:tcPr>
            <w:tcW w:type="dxa" w:w="4968"/>
            <w:vAlign w:val="center"/>
          </w:tcPr>
          <w:p>
            <w:r>
              <w:t>Title: _______________________________</w:t>
            </w:r>
          </w:p>
        </w:tc>
        <w:tc>
          <w:tcPr>
            <w:tcW w:type="dxa" w:w="4968"/>
            <w:vAlign w:val="center"/>
          </w:tcPr>
          <w:p>
            <w:r>
              <w:t>Title: _______________________________</w:t>
            </w:r>
          </w:p>
        </w:tc>
      </w:tr>
      <w:tr>
        <w:tc>
          <w:tcPr>
            <w:tcW w:type="dxa" w:w="4968"/>
            <w:vAlign w:val="center"/>
          </w:tcPr>
          <w:p>
            <w:r>
              <w:t>Signature: ____________________________</w:t>
            </w:r>
          </w:p>
        </w:tc>
        <w:tc>
          <w:tcPr>
            <w:tcW w:type="dxa" w:w="4968"/>
            <w:vAlign w:val="center"/>
          </w:tcPr>
          <w:p>
            <w:r>
              <w:t>Signature: ____________________________</w:t>
            </w:r>
          </w:p>
        </w:tc>
      </w:tr>
      <w:tr>
        <w:tc>
          <w:tcPr>
            <w:tcW w:type="dxa" w:w="4968"/>
            <w:vAlign w:val="center"/>
          </w:tcPr>
          <w:p>
            <w:r>
              <w:t>Date: ________________________________</w:t>
            </w:r>
          </w:p>
        </w:tc>
        <w:tc>
          <w:tcPr>
            <w:tcW w:type="dxa" w:w="4968"/>
            <w:vAlign w:val="center"/>
          </w:tcPr>
          <w:p>
            <w:r>
              <w:t>Date: ________________________________</w:t>
            </w:r>
          </w:p>
        </w:tc>
      </w:tr>
    </w:tbl>
    <w:p>
      <w:pPr>
        <w:pStyle w:val="Heading1"/>
      </w:pPr>
      <w:r>
        <w:t>OPTIONAL RECURRING PAYMENT AUTHORIZATION</w:t>
      </w:r>
    </w:p>
    <w:p>
      <w:r>
        <w:t>Client may authorize recurring monthly payments for the applicable package fee and other authorized charges. Payment details should be collected through a secure payment processor rather than entered into this document. A separate payment authorization may be used where required by the selected payment provider.</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