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00"/>
        <w:gridCol w:w="3560"/>
        <w:tblGridChange w:id="0">
          <w:tblGrid>
            <w:gridCol w:w="5800"/>
            <w:gridCol w:w="3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f172a"/>
                <w:sz w:val="52"/>
                <w:szCs w:val="52"/>
                <w:rtl w:val="0"/>
              </w:rPr>
              <w:t xml:space="preserve">Jason Worrix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e3a8a"/>
                <w:sz w:val="19"/>
                <w:szCs w:val="19"/>
                <w:rtl w:val="0"/>
              </w:rPr>
              <w:t xml:space="preserve">VP Marketing &amp; Growth  |  Full-Funnel Revenue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2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after="2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17"/>
                <w:szCs w:val="17"/>
                <w:rtl w:val="0"/>
              </w:rPr>
              <w:t xml:space="preserve">Louisville, KY 40245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17"/>
                <w:szCs w:val="17"/>
                <w:rtl w:val="0"/>
              </w:rPr>
              <w:t xml:space="preserve">502-612-9764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20" w:before="0" w:lineRule="auto"/>
              <w:jc w:val="right"/>
              <w:rPr>
                <w:rFonts w:ascii="Arial" w:cs="Arial" w:eastAsia="Arial" w:hAnsi="Arial"/>
                <w:color w:val="475569"/>
                <w:sz w:val="17"/>
                <w:szCs w:val="17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17"/>
                  <w:szCs w:val="17"/>
                  <w:u w:val="single"/>
                  <w:rtl w:val="0"/>
                </w:rPr>
                <w:t xml:space="preserve">jasonworrix@gmail.com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0" w:before="0" w:lineRule="auto"/>
              <w:jc w:val="right"/>
              <w:rPr>
                <w:rFonts w:ascii="Arial" w:cs="Arial" w:eastAsia="Arial" w:hAnsi="Arial"/>
                <w:color w:val="475569"/>
                <w:sz w:val="17"/>
                <w:szCs w:val="17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sz w:val="17"/>
                  <w:szCs w:val="17"/>
                  <w:u w:val="single"/>
                  <w:rtl w:val="0"/>
                </w:rPr>
                <w:t xml:space="preserve">jason.getstableflow.com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before="0" w:lineRule="auto"/>
              <w:jc w:val="right"/>
              <w:rPr>
                <w:rFonts w:ascii="Arial" w:cs="Arial" w:eastAsia="Arial" w:hAnsi="Arial"/>
                <w:color w:val="475569"/>
                <w:sz w:val="17"/>
                <w:szCs w:val="17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17"/>
                  <w:szCs w:val="17"/>
                  <w:u w:val="single"/>
                  <w:rtl w:val="0"/>
                </w:rPr>
                <w:t xml:space="preserve">linkedin.com/in/jasonworrix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before="0" w:lineRule="auto"/>
              <w:jc w:val="right"/>
              <w:rPr>
                <w:rFonts w:ascii="Arial" w:cs="Arial" w:eastAsia="Arial" w:hAnsi="Arial"/>
                <w:color w:val="475569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before="8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e3a8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PROFESSIONAL SUMMARY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before="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before="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75569"/>
          <w:sz w:val="22"/>
          <w:szCs w:val="22"/>
          <w:rtl w:val="0"/>
        </w:rPr>
        <w:t xml:space="preserve">Revenue-focused VP Marketing &amp; Growth leader with 12+ years building scalable acquisition, lifecycle, and performance systems for high-consideration consumer, health/wellness, medical, and technology brands. Proven track record scaling organizational revenue from $14M to $25M, reducing nCAC by 56%, and managing $10M+ media budgets with measurable ROI across the full funnel. Operates at the intersection of strategy and execution — equally comfortable setting go-to-market direction and owning daily revenue performance. Thrives in PE-backed, growth-stage, pharma/medical device, and SaaS environments where marketing is expected to directly drive enterprise value.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e3a8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PROFESSIONAL EXPERIENCE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before="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9360"/>
        </w:tabs>
        <w:spacing w:after="40" w:before="12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f172a"/>
          <w:sz w:val="24"/>
          <w:szCs w:val="24"/>
          <w:rtl w:val="0"/>
        </w:rPr>
        <w:t xml:space="preserve">Head of Marketing</w:t>
      </w:r>
      <w:r w:rsidDel="00000000" w:rsidR="00000000" w:rsidRPr="00000000">
        <w:rPr>
          <w:rFonts w:ascii="Arial" w:cs="Arial" w:eastAsia="Arial" w:hAnsi="Arial"/>
          <w:color w:val="475569"/>
          <w:sz w:val="21"/>
          <w:szCs w:val="21"/>
          <w:rtl w:val="0"/>
        </w:rPr>
        <w:t xml:space="preserve">07/2025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e3a8a"/>
          <w:sz w:val="21"/>
          <w:szCs w:val="21"/>
          <w:rtl w:val="0"/>
        </w:rPr>
        <w:t xml:space="preserve">QUANTELLIGENT  |  AI-Powered DTC Wellness Portfolio ($12–15M ARR)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Revenue Operations &amp; P&amp;L: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Lead full marketing function with ownership of a $500K monthly media budget, P&amp;L, new product launches, and daily revenue performance across a portfolio of DTC wellness brands.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Acquisition Efficiency: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Reduced nCAC by 56% — from $125 to $55 — at scale by deploying AI-powered creative and reporting tools to maximize cross-channel output with a lean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Omnichannel Growth: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Developed integrated frameworks across SEO, SEM, and CRM using multi-touch attribution models to justify upper-funnel investment, driving a 29% increase in total revenue.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Lifecycle &amp; Retention: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Architected a full-stack CRM infrastructure from scratch — automated email, SMS, and push sequences now drive 29% of total revenue and scaled repeat purchase AOV by 41%.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Team Building: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Recruited and onboarded a 6-person marketing and technical team; established KPIs, reporting cadence, and performance management systems from the ground 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360"/>
        </w:tabs>
        <w:spacing w:after="40" w:before="12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f172a"/>
          <w:sz w:val="24"/>
          <w:szCs w:val="24"/>
          <w:rtl w:val="0"/>
        </w:rPr>
        <w:t xml:space="preserve">Director of Marketing</w:t>
      </w:r>
      <w:r w:rsidDel="00000000" w:rsidR="00000000" w:rsidRPr="00000000">
        <w:rPr>
          <w:rFonts w:ascii="Arial" w:cs="Arial" w:eastAsia="Arial" w:hAnsi="Arial"/>
          <w:color w:val="475569"/>
          <w:sz w:val="21"/>
          <w:szCs w:val="21"/>
          <w:rtl w:val="0"/>
        </w:rPr>
        <w:t xml:space="preserve">06/2023 – 07/2025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e3a8a"/>
          <w:sz w:val="21"/>
          <w:szCs w:val="21"/>
          <w:rtl w:val="0"/>
        </w:rPr>
        <w:t xml:space="preserve">MAGNAWAVE PEMF &amp; AURA WELLNESS  |  Therapeutic Technology  |  B2B/B2C/Professional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Revenue Transformation: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Rebuilt the entire marketing operation and served as strategic partner to CEO, scaling the combined organization from $14M to $25M — 79% growth — in under two years.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New Brand GTM: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Launched AuraWell brand from concept to $2M revenue in under 12 months as sole marketing leader, owning full positioning, messaging framework, and go-to-market strategy for a regulated product 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Demand Generation: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Delivered a record-breaking $6.8M quarter through integrated campaigns. Reduced CAC by 26% (from $667 to $492) within 90 days by rebuilding paid media strategy and attribution models.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Lifecycle &amp; Pipeline: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Built CRM and nurture infrastructure including 7 product-specific funnels, transforming cold traffic into qualified pipeline and improving Customer Lifetime Value across B2B and B2C segments.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Sales Enablement: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Implemented a 2-minute lead response SLA and created sales scripts and qualification frameworks that directly improved conversion rates and deal velocity.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People Leadership: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Hired and developed a 5-person team covering marketing and web operations; managed technical implementation of CRM infrastructure and affiliate tracking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9360"/>
        </w:tabs>
        <w:spacing w:after="40" w:before="12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f172a"/>
          <w:sz w:val="24"/>
          <w:szCs w:val="24"/>
          <w:rtl w:val="0"/>
        </w:rPr>
        <w:t xml:space="preserve">Digital Paid Media Manager</w:t>
      </w:r>
      <w:r w:rsidDel="00000000" w:rsidR="00000000" w:rsidRPr="00000000">
        <w:rPr>
          <w:rFonts w:ascii="Arial" w:cs="Arial" w:eastAsia="Arial" w:hAnsi="Arial"/>
          <w:color w:val="475569"/>
          <w:sz w:val="21"/>
          <w:szCs w:val="21"/>
          <w:rtl w:val="0"/>
        </w:rPr>
        <w:t xml:space="preserve">03/2022 – 06/2023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60" w:before="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e3a8a"/>
          <w:sz w:val="21"/>
          <w:szCs w:val="21"/>
          <w:rtl w:val="0"/>
        </w:rPr>
        <w:t xml:space="preserve">SIRVA GLOBAL RELOCATION SERVICES  |  Enterprise Relocation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Media Budget Ownership: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Managed a $10M+ annual media budget across three service lines, directing paid strategy across search, display, social, and connected TV.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Acquisition Efficiency: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Reduced cost per lead from ~$70 to $50–60 (14–29% improvement) by optimizing media mix and rebuilding paid media strategy and attribution models.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Attribution Infrastructure: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Built a full-funnel attribution framework to justify upper-funnel investment and connect media spend directly to pipeline and revenue outcomes.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360"/>
        </w:tabs>
        <w:spacing w:after="40" w:before="12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f172a"/>
          <w:sz w:val="24"/>
          <w:szCs w:val="24"/>
          <w:rtl w:val="0"/>
        </w:rPr>
        <w:t xml:space="preserve">Digital Marketing Manager</w:t>
      </w:r>
      <w:r w:rsidDel="00000000" w:rsidR="00000000" w:rsidRPr="00000000">
        <w:rPr>
          <w:rFonts w:ascii="Arial" w:cs="Arial" w:eastAsia="Arial" w:hAnsi="Arial"/>
          <w:color w:val="475569"/>
          <w:sz w:val="21"/>
          <w:szCs w:val="21"/>
          <w:rtl w:val="0"/>
        </w:rPr>
        <w:t xml:space="preserve">10/2020 – 03/2022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before="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e3a8a"/>
          <w:sz w:val="21"/>
          <w:szCs w:val="21"/>
          <w:rtl w:val="0"/>
        </w:rPr>
        <w:t xml:space="preserve">EQUIFAX WORKFORCE SOLUTIONS  |  Enterprise B2B SaaS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M&amp;A Integration: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Led digital marketing strategy through a major acquisition, integrating marketing systems and ensuring seamless go-to-market execution across combined organizations.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Demand Generation: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Owned Account-Based Marketing (ABM) and integrated programs, growing web traffic 50%+ and delivering high-quality enterprise pipeline.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MarTech Optimization: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Streamlined MarTech stack and CRM automation to improve targeting precision, enhance campaign performance, and reduce operational overhead.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360"/>
        </w:tabs>
        <w:spacing w:after="40" w:before="12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f172a"/>
          <w:sz w:val="24"/>
          <w:szCs w:val="24"/>
          <w:rtl w:val="0"/>
        </w:rPr>
        <w:t xml:space="preserve">Director of Marketing &amp; Product</w:t>
      </w:r>
      <w:r w:rsidDel="00000000" w:rsidR="00000000" w:rsidRPr="00000000">
        <w:rPr>
          <w:rFonts w:ascii="Arial" w:cs="Arial" w:eastAsia="Arial" w:hAnsi="Arial"/>
          <w:color w:val="475569"/>
          <w:sz w:val="21"/>
          <w:szCs w:val="21"/>
          <w:rtl w:val="0"/>
        </w:rPr>
        <w:t xml:space="preserve">03/2014 – 10/2020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before="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e3a8a"/>
          <w:sz w:val="21"/>
          <w:szCs w:val="21"/>
          <w:rtl w:val="0"/>
        </w:rPr>
        <w:t xml:space="preserve">MY CAMPAIGN STORE  |  Political E-Commerce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Platform Scaling: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Built and scaled a proprietary e-commerce platform from startup to market leader, serving as Product Owner and managing the full software development lifecycle.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Revenue Growth: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Drove 150% annual sales growth for six consecutive years through integrated digital strategy — SEO, SEM, email marketing, direct mail, and print.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360" w:right="0" w:hanging="22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f172a"/>
          <w:sz w:val="21"/>
          <w:szCs w:val="21"/>
          <w:u w:val="none"/>
          <w:shd w:fill="auto" w:val="clear"/>
          <w:vertAlign w:val="baseline"/>
          <w:rtl w:val="0"/>
        </w:rPr>
        <w:t xml:space="preserve">Operations Ownership: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5569"/>
          <w:sz w:val="21"/>
          <w:szCs w:val="21"/>
          <w:u w:val="none"/>
          <w:shd w:fill="auto" w:val="clear"/>
          <w:vertAlign w:val="baseline"/>
          <w:rtl w:val="0"/>
        </w:rPr>
        <w:t xml:space="preserve">Owned daily operations, continuous site optimization, and full financial performance for a high-volume political e-commerce platform.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e3a8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CORE COMPETENCIES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before="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2e8f0" w:space="0" w:sz="4" w:val="single"/>
              <w:right w:color="e2e8f0" w:space="0" w:sz="4" w:val="single"/>
            </w:tcBorders>
            <w:shd w:fill="eff4ff" w:val="clear"/>
            <w:tcMar>
              <w:top w:w="80.0" w:type="dxa"/>
              <w:left w:w="12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f172a"/>
                <w:sz w:val="21"/>
                <w:szCs w:val="21"/>
                <w:rtl w:val="0"/>
              </w:rPr>
              <w:t xml:space="preserve">Growth &amp; 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eff4ff" w:val="clear"/>
            <w:tcMar>
              <w:top w:w="80.0" w:type="dxa"/>
              <w:left w:w="12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f172a"/>
                <w:sz w:val="21"/>
                <w:szCs w:val="21"/>
                <w:rtl w:val="0"/>
              </w:rPr>
              <w:t xml:space="preserve">Leadership &amp; 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2e8f0" w:space="0" w:sz="4" w:val="single"/>
              <w:bottom w:color="e2e8f0" w:space="0" w:sz="4" w:val="single"/>
              <w:right w:color="000000" w:space="0" w:sz="0" w:val="nil"/>
            </w:tcBorders>
            <w:shd w:fill="eff4ff" w:val="clear"/>
            <w:tcMar>
              <w:top w:w="80.0" w:type="dxa"/>
              <w:left w:w="12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f172a"/>
                <w:sz w:val="21"/>
                <w:szCs w:val="21"/>
                <w:rtl w:val="0"/>
              </w:rPr>
              <w:t xml:space="preserve">Technology &amp; Analytics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2e8f0" w:space="0" w:sz="4" w:val="single"/>
            </w:tcBorders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Full-Funnel Acquisition Strategy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Paid Media ($10M+ Budgets)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SEO / SEM / CTV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Lifecycle &amp; Retention Marketing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CAC / LTV Optimization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A/B Testing &amp; 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2e8f0" w:space="0" w:sz="4" w:val="single"/>
              <w:bottom w:color="000000" w:space="0" w:sz="0" w:val="nil"/>
              <w:right w:color="e2e8f0" w:space="0" w:sz="4" w:val="single"/>
            </w:tcBorders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P&amp;L Ownership &amp; Budget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Go-To-Market Strategy &amp; NPIs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Brand Positioning &amp; Messaging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Cross-Functional Alignment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Team Building &amp;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Sales Enablement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2e8f0" w:space="0" w:sz="4" w:val="single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CRM: Salesforce, HubSpot, Klaviyo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Analytics: GA4, Wicked Reports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E-commerce: Shopify, WordPress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Multi-Touch Attribution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AI Marketing &amp; Creative Tools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0" w:before="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75569"/>
                <w:sz w:val="21"/>
                <w:szCs w:val="21"/>
                <w:rtl w:val="0"/>
              </w:rPr>
              <w:t xml:space="preserve">Full MarTech Stack Management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before="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e3a8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before="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right" w:leader="none" w:pos="9360"/>
        </w:tabs>
        <w:spacing w:after="0" w:before="0" w:lineRule="auto"/>
        <w:rPr>
          <w:rFonts w:ascii="Arial" w:cs="Arial" w:eastAsia="Arial" w:hAnsi="Arial"/>
          <w:color w:val="47556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475569"/>
          <w:sz w:val="22"/>
          <w:szCs w:val="22"/>
          <w:rtl w:val="0"/>
        </w:rPr>
        <w:t xml:space="preserve">Bachelor of Arts, New Media  |  University of Kentucky 2012</w:t>
      </w:r>
    </w:p>
    <w:p w:rsidR="00000000" w:rsidDel="00000000" w:rsidP="00000000" w:rsidRDefault="00000000" w:rsidRPr="00000000" w14:paraId="0000004F">
      <w:pPr>
        <w:tabs>
          <w:tab w:val="right" w:leader="none" w:pos="9360"/>
        </w:tabs>
        <w:spacing w:after="0" w:before="0" w:lineRule="auto"/>
        <w:rPr>
          <w:rFonts w:ascii="Arial" w:cs="Arial" w:eastAsia="Arial" w:hAnsi="Arial"/>
          <w:color w:val="47556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right" w:leader="none" w:pos="9360"/>
        </w:tabs>
        <w:spacing w:after="0" w:before="0" w:lineRule="auto"/>
        <w:rPr>
          <w:rFonts w:ascii="Arial" w:cs="Arial" w:eastAsia="Arial" w:hAnsi="Arial"/>
          <w:color w:val="47556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475569"/>
          <w:sz w:val="22"/>
          <w:szCs w:val="22"/>
          <w:rtl w:val="0"/>
        </w:rPr>
        <w:tab/>
      </w:r>
    </w:p>
    <w:sectPr>
      <w:pgSz w:h="15840" w:w="12240" w:orient="portrait"/>
      <w:pgMar w:bottom="720" w:top="720" w:left="1008" w:right="100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220"/>
      </w:pPr>
      <w:rPr>
        <w:rFonts w:ascii="Arial" w:cs="Arial" w:eastAsia="Arial" w:hAnsi="Arial"/>
        <w:color w:val="475569"/>
        <w:sz w:val="17"/>
        <w:szCs w:val="17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inkedin.com/in/jasonworri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sonworrix@gmail.com" TargetMode="External"/><Relationship Id="rId8" Type="http://schemas.openxmlformats.org/officeDocument/2006/relationships/hyperlink" Target="http://jason.getstableflo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S1UfOlEFBgXDZrZDz0ipWKW9dg==">CgMxLjA4AHIhMVNKaEVzenN1bVZHT2FROTQwQ1piRzhqUjBIVXlBdno5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2026-02-24T18:13:26.442Z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