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b/>
          <w:bCs/>
          <w:color w:val="1F3A5F"/>
          <w:sz w:val="40"/>
          <w:szCs w:val="40"/>
        </w:rPr>
        <w:t xml:space="preserve">Client Services Agreement</w:t>
      </w:r>
    </w:p>
    <w:p>
      <w:pPr>
        <w:spacing w:after="300"/>
      </w:pPr>
      <w:r>
        <w:rPr>
          <w:i/>
          <w:iCs/>
          <w:color w:val="5A5A5A"/>
          <w:sz w:val="22"/>
          <w:szCs w:val="22"/>
        </w:rPr>
        <w:t xml:space="preserve">PharmaKind Inc. — Pharmacy Staffing Placement Services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EDEFF2" w:val="clear"/>
            <w:tcMar>
              <w:top w:type="dxa" w:w="150"/>
              <w:left w:type="dxa" w:w="150"/>
              <w:bottom w:type="dxa" w:w="150"/>
              <w:right w:type="dxa" w:w="150"/>
            </w:tcMar>
          </w:tcPr>
          <w:p>
            <w:pPr>
              <w:spacing w:after="80"/>
            </w:pPr>
            <w:r>
              <w:rPr>
                <w:b/>
                <w:bCs/>
                <w:i/>
                <w:iCs/>
                <w:color w:val="444444"/>
                <w:sz w:val="18"/>
                <w:szCs w:val="18"/>
              </w:rPr>
              <w:t xml:space="preserve">DRAFT TEMPLATE — NOT LEGAL ADVICE</w:t>
            </w:r>
          </w:p>
          <w:p>
            <w:pPr>
              <w:spacing w:after="0"/>
            </w:pPr>
            <w:r>
              <w:rPr>
                <w:b w:val="false"/>
                <w:bCs w:val="false"/>
                <w:i/>
                <w:iCs/>
                <w:color w:val="444444"/>
                <w:sz w:val="18"/>
                <w:szCs w:val="18"/>
              </w:rPr>
              <w:t xml:space="preserve">This document is a discussion draft prepared for general reference only. It has not been reviewed by a lawyer, is not tailored to any specific province or territory, and must not be used, signed, or relied upon until it has been reviewed, revised, and approved by a licensed Canadian lawyer with relevant healthcare-staffing and employment law experience. Terms in [brackets] mark items requiring completion or provincial customization (e.g., governing law, regulatory college references, insurance minimums).</w:t>
            </w:r>
          </w:p>
        </w:tc>
      </w:tr>
    </w:tbl>
    <w:p>
      <w:pPr>
        <w:spacing w:after="200"/>
      </w:pPr>
    </w:p>
    <w:p>
      <w:pPr>
        <w:spacing w:after="140"/>
      </w:pPr>
      <w:r>
        <w:rPr>
          <w:b/>
          <w:bCs/>
          <w:sz w:val="21"/>
          <w:szCs w:val="21"/>
        </w:rPr>
        <w:t xml:space="preserve">This Client Services Agreement </w:t>
      </w:r>
      <w:r>
        <w:rPr>
          <w:sz w:val="21"/>
          <w:szCs w:val="21"/>
        </w:rPr>
        <w:t xml:space="preserve">(the “Agreement”) is made as of [DATE] (the “Effective Date”) between:</w:t>
      </w:r>
    </w:p>
    <w:p>
      <w:pPr>
        <w:spacing w:after="140"/>
      </w:pPr>
      <w:r>
        <w:rPr>
          <w:b/>
          <w:bCs/>
          <w:sz w:val="21"/>
          <w:szCs w:val="21"/>
        </w:rPr>
        <w:t xml:space="preserve">PharmaKind Inc.</w:t>
      </w:r>
      <w:r>
        <w:rPr>
          <w:sz w:val="21"/>
          <w:szCs w:val="21"/>
        </w:rPr>
        <w:t xml:space="preserve">, a corporation existing under the laws of [Province] (“PharmaKind” or the “Agency”), and</w:t>
      </w:r>
    </w:p>
    <w:p>
      <w:pPr>
        <w:spacing w:after="140"/>
      </w:pPr>
      <w:r>
        <w:rPr>
          <w:b/>
          <w:bCs/>
          <w:sz w:val="21"/>
          <w:szCs w:val="21"/>
        </w:rPr>
        <w:t xml:space="preserve">[CLIENT LEGAL NAME]</w:t>
      </w:r>
      <w:r>
        <w:rPr>
          <w:sz w:val="21"/>
          <w:szCs w:val="21"/>
        </w:rPr>
        <w:t xml:space="preserve">, a pharmacy / healthcare facility operating under license number [LICENCE NO.] in the Province of [PROVINCE] (the “Client”),</w:t>
      </w:r>
    </w:p>
    <w:p>
      <w:pPr>
        <w:spacing w:after="140"/>
      </w:pPr>
      <w:r>
        <w:rPr>
          <w:sz w:val="21"/>
          <w:szCs w:val="21"/>
        </w:rPr>
        <w:t xml:space="preserve">(each a “Party” and together the “Parties”).</w:t>
      </w:r>
    </w:p>
    <w:p>
      <w:pPr>
        <w:pStyle w:val="Heading1"/>
        <w:spacing w:after="140" w:before="320"/>
      </w:pPr>
      <w:r>
        <w:rPr>
          <w:b/>
          <w:bCs/>
          <w:color w:val="1F3A5F"/>
          <w:sz w:val="26"/>
          <w:szCs w:val="26"/>
        </w:rPr>
        <w:t xml:space="preserve">1. Definitions</w:t>
      </w:r>
    </w:p>
    <w:p>
      <w:pPr>
        <w:pStyle w:val="ListParagraph"/>
        <w:numPr>
          <w:ilvl w:val="0"/>
          <w:numId w:val="1"/>
        </w:numPr>
        <w:spacing w:after="80"/>
      </w:pPr>
      <w:r>
        <w:rPr>
          <w:sz w:val="21"/>
          <w:szCs w:val="21"/>
        </w:rPr>
        <w:t xml:space="preserve">“Personnel” means any pharmacist, pharmacy technician, pharmacy assistant, or other worker referred, assigned, or placed by PharmaKind to perform services at a Client site.</w:t>
      </w:r>
    </w:p>
    <w:p>
      <w:pPr>
        <w:pStyle w:val="ListParagraph"/>
        <w:numPr>
          <w:ilvl w:val="0"/>
          <w:numId w:val="1"/>
        </w:numPr>
        <w:spacing w:after="80"/>
      </w:pPr>
      <w:r>
        <w:rPr>
          <w:sz w:val="21"/>
          <w:szCs w:val="21"/>
        </w:rPr>
        <w:t xml:space="preserve">“Assignment” means a specific placement of Personnel with the Client for a defined or indefinite period, as set out in a Statement of Work, booking confirmation, or purchase order (“Order Form”).</w:t>
      </w:r>
    </w:p>
    <w:p>
      <w:pPr>
        <w:pStyle w:val="ListParagraph"/>
        <w:numPr>
          <w:ilvl w:val="0"/>
          <w:numId w:val="1"/>
        </w:numPr>
        <w:spacing w:after="80"/>
      </w:pPr>
      <w:r>
        <w:rPr>
          <w:sz w:val="21"/>
          <w:szCs w:val="21"/>
        </w:rPr>
        <w:t xml:space="preserve">“Regulatory College” means the applicable provincial or territorial pharmacy regulatory authority (e.g., Ontario College of Pharmacists, Ordre des pharmaciens du Québec) governing licensure and professional conduct of Personnel.</w:t>
      </w:r>
    </w:p>
    <w:p>
      <w:pPr>
        <w:pStyle w:val="ListParagraph"/>
        <w:numPr>
          <w:ilvl w:val="0"/>
          <w:numId w:val="1"/>
        </w:numPr>
        <w:spacing w:after="80"/>
      </w:pPr>
      <w:r>
        <w:rPr>
          <w:sz w:val="21"/>
          <w:szCs w:val="21"/>
        </w:rPr>
        <w:t xml:space="preserve">“Controlled Substances” means substances regulated under the Controlled Drugs and Substances Act (Canada) and applicable provincial narcotics regulations.</w:t>
      </w:r>
    </w:p>
    <w:p>
      <w:pPr>
        <w:pStyle w:val="Heading1"/>
        <w:spacing w:after="140" w:before="320"/>
      </w:pPr>
      <w:r>
        <w:rPr>
          <w:b/>
          <w:bCs/>
          <w:color w:val="1F3A5F"/>
          <w:sz w:val="26"/>
          <w:szCs w:val="26"/>
        </w:rPr>
        <w:t xml:space="preserve">2. Services</w:t>
      </w:r>
    </w:p>
    <w:p>
      <w:pPr>
        <w:spacing w:after="140"/>
      </w:pPr>
      <w:r>
        <w:rPr>
          <w:sz w:val="21"/>
          <w:szCs w:val="21"/>
        </w:rPr>
        <w:t xml:space="preserve">PharmaKind will use commercially reasonable efforts to identify, screen, and refer qualified Personnel to fulfill Assignments requested by the Client under Order Forms executed from time to time. Each Order Form will specify role, required licensure/certification, duration, schedule, and billing rate, and will form part of this Agreement by reference.</w:t>
      </w:r>
    </w:p>
    <w:p>
      <w:pPr>
        <w:spacing w:after="140"/>
      </w:pPr>
      <w:r>
        <w:rPr>
          <w:sz w:val="21"/>
          <w:szCs w:val="21"/>
        </w:rPr>
        <w:t xml:space="preserve">PharmaKind is a staffing and placement agency only. PharmaKind does not operate a pharmacy, does not hold a pharmacy licence in respect of the Client's premises, does not dispense or supervise the dispensing of drugs, and does not direct or control the clinical judgment of Personnel while performing services at the Client's site.</w:t>
      </w:r>
    </w:p>
    <w:p>
      <w:pPr>
        <w:pStyle w:val="Heading1"/>
        <w:spacing w:after="140" w:before="320"/>
      </w:pPr>
      <w:r>
        <w:rPr>
          <w:b/>
          <w:bCs/>
          <w:color w:val="1F3A5F"/>
          <w:sz w:val="26"/>
          <w:szCs w:val="26"/>
        </w:rPr>
        <w:t xml:space="preserve">3. Client Responsibilities</w:t>
      </w:r>
    </w:p>
    <w:p>
      <w:pPr>
        <w:spacing w:after="140"/>
      </w:pPr>
      <w:r>
        <w:rPr>
          <w:sz w:val="21"/>
          <w:szCs w:val="21"/>
        </w:rPr>
        <w:t xml:space="preserve">The Client acknowledges and agrees that, notwithstanding any screening performed by PharmaKind under Section 4, the Client remains solely responsible for:</w:t>
      </w:r>
    </w:p>
    <w:p>
      <w:pPr>
        <w:pStyle w:val="ListParagraph"/>
        <w:numPr>
          <w:ilvl w:val="0"/>
          <w:numId w:val="1"/>
        </w:numPr>
        <w:spacing w:after="80"/>
      </w:pPr>
      <w:r>
        <w:rPr>
          <w:sz w:val="21"/>
          <w:szCs w:val="21"/>
        </w:rPr>
        <w:t xml:space="preserve">Verifying, immediately prior to each Assignment and on an ongoing basis thereafter, that Personnel hold a current, unrestricted licence or registration in good standing with the applicable Regulatory College for the province in which services are performed;</w:t>
      </w:r>
    </w:p>
    <w:p>
      <w:pPr>
        <w:pStyle w:val="ListParagraph"/>
        <w:numPr>
          <w:ilvl w:val="0"/>
          <w:numId w:val="1"/>
        </w:numPr>
        <w:spacing w:after="80"/>
      </w:pPr>
      <w:r>
        <w:rPr>
          <w:sz w:val="21"/>
          <w:szCs w:val="21"/>
        </w:rPr>
        <w:t xml:space="preserve">Day-to-day clinical supervision, direction, and control of Personnel while on Client premises, consistent with the standard of care and all applicable pharmacy practice regulations;</w:t>
      </w:r>
    </w:p>
    <w:p>
      <w:pPr>
        <w:pStyle w:val="ListParagraph"/>
        <w:numPr>
          <w:ilvl w:val="0"/>
          <w:numId w:val="1"/>
        </w:numPr>
        <w:spacing w:after="80"/>
      </w:pPr>
      <w:r>
        <w:rPr>
          <w:sz w:val="21"/>
          <w:szCs w:val="21"/>
        </w:rPr>
        <w:t xml:space="preserve">Providing a safe workplace in compliance with applicable occupational health and safety legislation;</w:t>
      </w:r>
    </w:p>
    <w:p>
      <w:pPr>
        <w:pStyle w:val="ListParagraph"/>
        <w:numPr>
          <w:ilvl w:val="0"/>
          <w:numId w:val="1"/>
        </w:numPr>
        <w:spacing w:after="80"/>
      </w:pPr>
      <w:r>
        <w:rPr>
          <w:sz w:val="21"/>
          <w:szCs w:val="21"/>
        </w:rPr>
        <w:t xml:space="preserve">Compliance with all federal and provincial requirements applicable to the storage, handling, and dispensing of Controlled Substances, including maintenance of the Client's own Health Canada / provincial authorizations;</w:t>
      </w:r>
    </w:p>
    <w:p>
      <w:pPr>
        <w:pStyle w:val="ListParagraph"/>
        <w:numPr>
          <w:ilvl w:val="0"/>
          <w:numId w:val="1"/>
        </w:numPr>
        <w:spacing w:after="80"/>
      </w:pPr>
      <w:r>
        <w:rPr>
          <w:sz w:val="21"/>
          <w:szCs w:val="21"/>
        </w:rPr>
        <w:t xml:space="preserve">Maintaining appropriate professional liability and general commercial liability insurance covering activities occurring on Client premises; and</w:t>
      </w:r>
    </w:p>
    <w:p>
      <w:pPr>
        <w:pStyle w:val="ListParagraph"/>
        <w:numPr>
          <w:ilvl w:val="0"/>
          <w:numId w:val="1"/>
        </w:numPr>
        <w:spacing w:after="80"/>
      </w:pPr>
      <w:r>
        <w:rPr>
          <w:sz w:val="21"/>
          <w:szCs w:val="21"/>
        </w:rPr>
        <w:t xml:space="preserve">Immediately notifying PharmaKind of any concern regarding Personnel competence, conduct, or licensure status.</w:t>
      </w:r>
    </w:p>
    <w:p>
      <w:pPr>
        <w:pStyle w:val="Heading1"/>
        <w:spacing w:after="140" w:before="320"/>
      </w:pPr>
      <w:r>
        <w:rPr>
          <w:b/>
          <w:bCs/>
          <w:color w:val="1F3A5F"/>
          <w:sz w:val="26"/>
          <w:szCs w:val="26"/>
        </w:rPr>
        <w:t xml:space="preserve">4. Screening and Credentialing</w:t>
      </w:r>
    </w:p>
    <w:p>
      <w:pPr>
        <w:spacing w:after="140"/>
      </w:pPr>
      <w:r>
        <w:rPr>
          <w:sz w:val="21"/>
          <w:szCs w:val="21"/>
        </w:rPr>
        <w:t xml:space="preserve">PharmaKind will take commercially reasonable steps, consistent with industry practice, to confirm at the time of onboarding that Personnel hold the credentials represented to the Client, which may include licence verification with the relevant Regulatory College, reference checks, and a criminal record check where legally permitted. </w:t>
      </w:r>
    </w:p>
    <w:p>
      <w:pPr>
        <w:spacing w:after="140"/>
      </w:pPr>
      <w:r>
        <w:rPr>
          <w:b/>
          <w:bCs/>
          <w:sz w:val="21"/>
          <w:szCs w:val="21"/>
        </w:rPr>
        <w:t xml:space="preserve">PharmaKind does not warrant or guarantee </w:t>
      </w:r>
      <w:r>
        <w:rPr>
          <w:sz w:val="21"/>
          <w:szCs w:val="21"/>
        </w:rPr>
        <w:t xml:space="preserve">the continuing accuracy of licensure, certification, or background information after the date it is obtained, and expressly disclaims responsibility for Client's independent verification obligations set out in Section 3(a). Nothing in this Agreement relieves the Client of its own statutory obligations to confirm licensure prior to permitting Personnel to practise on its premises.</w:t>
      </w:r>
    </w:p>
    <w:p>
      <w:pPr>
        <w:pStyle w:val="Heading1"/>
        <w:spacing w:after="140" w:before="320"/>
      </w:pPr>
      <w:r>
        <w:rPr>
          <w:b/>
          <w:bCs/>
          <w:color w:val="1F3A5F"/>
          <w:sz w:val="26"/>
          <w:szCs w:val="26"/>
        </w:rPr>
        <w:t xml:space="preserve">5. Clinical Independence and No Practice of Pharmacy by PharmaKind</w:t>
      </w:r>
    </w:p>
    <w:p>
      <w:pPr>
        <w:spacing w:after="140"/>
      </w:pPr>
      <w:r>
        <w:rPr>
          <w:sz w:val="21"/>
          <w:szCs w:val="21"/>
        </w:rPr>
        <w:t xml:space="preserve">Personnel remain, at all times while on Assignment, subject to the professional and ethical obligations owed to their Regulatory College and to the standard of care applicable to their profession. Nothing in this Agreement shall be construed as PharmaKind engaging in the practice of pharmacy, exercising clinical judgment, or interfering with the professional independence of Personnel.</w:t>
      </w:r>
    </w:p>
    <w:p>
      <w:pPr>
        <w:pStyle w:val="Heading1"/>
        <w:spacing w:after="140" w:before="320"/>
      </w:pPr>
      <w:r>
        <w:rPr>
          <w:b/>
          <w:bCs/>
          <w:color w:val="1F3A5F"/>
          <w:sz w:val="26"/>
          <w:szCs w:val="26"/>
        </w:rPr>
        <w:t xml:space="preserve">6. Fees and Payment</w:t>
      </w:r>
    </w:p>
    <w:p>
      <w:pPr>
        <w:spacing w:after="140"/>
      </w:pPr>
      <w:r>
        <w:rPr>
          <w:sz w:val="21"/>
          <w:szCs w:val="21"/>
        </w:rPr>
        <w:t xml:space="preserve">Client will pay the fees set out in the applicable Order Form. Unless otherwise stated, invoices are due within [30] days of receipt. Late payments accrue interest at [2%] per month ([X]% per annum) or the maximum rate permitted by law, whichever is lower. PharmaKind may suspend further placements for accounts more than [45] days past due.</w:t>
      </w:r>
    </w:p>
    <w:p>
      <w:pPr>
        <w:pStyle w:val="Heading1"/>
        <w:spacing w:after="140" w:before="320"/>
      </w:pPr>
      <w:r>
        <w:rPr>
          <w:b/>
          <w:bCs/>
          <w:color w:val="1F3A5F"/>
          <w:sz w:val="26"/>
          <w:szCs w:val="26"/>
        </w:rPr>
        <w:t xml:space="preserve">7. Non-Solicitation and Conversion Fee</w:t>
      </w:r>
    </w:p>
    <w:p>
      <w:pPr>
        <w:spacing w:after="140"/>
      </w:pPr>
      <w:r>
        <w:rPr>
          <w:sz w:val="21"/>
          <w:szCs w:val="21"/>
        </w:rPr>
        <w:t xml:space="preserve">During the term of this Agreement and for [12] months following the later of (i) termination of this Agreement, or (ii) the end of the most recent Assignment of a given individual, the Client agrees not to directly or indirectly hire, engage, or contract with any Personnel introduced by PharmaKind without PharmaKind's prior written consent, except upon payment of a conversion fee of [$X / a percentage of first-year compensation], intended to reflect PharmaKind's recruitment, screening, and placement investment.</w:t>
      </w:r>
    </w:p>
    <w:p>
      <w:pPr>
        <w:pStyle w:val="Heading1"/>
        <w:spacing w:after="140" w:before="320"/>
      </w:pPr>
      <w:r>
        <w:rPr>
          <w:b/>
          <w:bCs/>
          <w:color w:val="1F3A5F"/>
          <w:sz w:val="26"/>
          <w:szCs w:val="26"/>
        </w:rPr>
        <w:t xml:space="preserve">8. Insurance and Indemnification</w:t>
      </w:r>
    </w:p>
    <w:p>
      <w:pPr>
        <w:pStyle w:val="Heading2"/>
        <w:spacing w:after="80" w:before="160"/>
      </w:pPr>
      <w:r>
        <w:rPr>
          <w:b/>
          <w:bCs/>
          <w:color w:val="2E5077"/>
          <w:sz w:val="22"/>
          <w:szCs w:val="22"/>
        </w:rPr>
        <w:t xml:space="preserve">8.1 Client Insurance</w:t>
      </w:r>
    </w:p>
    <w:p>
      <w:pPr>
        <w:spacing w:after="140"/>
      </w:pPr>
      <w:r>
        <w:rPr>
          <w:sz w:val="21"/>
          <w:szCs w:val="21"/>
        </w:rPr>
        <w:t xml:space="preserve">Client will maintain, at its own expense, commercial general liability insurance and professional/healthcare liability insurance (including coverage for the acts of Personnel while under Client's supervision and control) of not less than $[AMOUNT] per occurrence, and will provide evidence of such coverage upon request.</w:t>
      </w:r>
    </w:p>
    <w:p>
      <w:pPr>
        <w:pStyle w:val="Heading2"/>
        <w:spacing w:after="80" w:before="160"/>
      </w:pPr>
      <w:r>
        <w:rPr>
          <w:b/>
          <w:bCs/>
          <w:color w:val="2E5077"/>
          <w:sz w:val="22"/>
          <w:szCs w:val="22"/>
        </w:rPr>
        <w:t xml:space="preserve">8.2 Mutual Indemnification</w:t>
      </w:r>
    </w:p>
    <w:p>
      <w:pPr>
        <w:spacing w:after="140"/>
      </w:pPr>
      <w:r>
        <w:rPr>
          <w:b/>
          <w:bCs/>
          <w:sz w:val="21"/>
          <w:szCs w:val="21"/>
        </w:rPr>
        <w:t xml:space="preserve">By Client: </w:t>
      </w:r>
      <w:r>
        <w:rPr>
          <w:sz w:val="21"/>
          <w:szCs w:val="21"/>
        </w:rPr>
        <w:t xml:space="preserve">Client will indemnify and hold harmless PharmaKind, its officers, directors, and employees from and against any claims, losses, or damages arising out of (i) the negligence, misconduct, or unsafe conditions at the Client's premises, (ii) Client's failure to perform its verification and supervisory obligations under Section 3, or (iii) Client's breach of this Agreement.</w:t>
      </w:r>
    </w:p>
    <w:p>
      <w:pPr>
        <w:spacing w:after="140"/>
      </w:pPr>
      <w:r>
        <w:rPr>
          <w:b/>
          <w:bCs/>
          <w:sz w:val="21"/>
          <w:szCs w:val="21"/>
        </w:rPr>
        <w:t xml:space="preserve">By PharmaKind: </w:t>
      </w:r>
      <w:r>
        <w:rPr>
          <w:sz w:val="21"/>
          <w:szCs w:val="21"/>
        </w:rPr>
        <w:t xml:space="preserve">PharmaKind will indemnify and hold harmless Client from and against any claims, losses, or damages arising directly from PharmaKind's gross negligence or wilful misconduct in the screening process described in Section 4, but excluding any claim arising from the professional acts, errors, or omissions of Personnel, which remain governed by Section 8.3.</w:t>
      </w:r>
    </w:p>
    <w:p>
      <w:pPr>
        <w:pStyle w:val="Heading2"/>
        <w:spacing w:after="80" w:before="160"/>
      </w:pPr>
      <w:r>
        <w:rPr>
          <w:b/>
          <w:bCs/>
          <w:color w:val="2E5077"/>
          <w:sz w:val="22"/>
          <w:szCs w:val="22"/>
        </w:rPr>
        <w:t xml:space="preserve">8.3 Professional Acts of Personnel</w:t>
      </w:r>
    </w:p>
    <w:p>
      <w:pPr>
        <w:spacing w:after="140"/>
      </w:pPr>
      <w:r>
        <w:rPr>
          <w:sz w:val="21"/>
          <w:szCs w:val="21"/>
        </w:rPr>
        <w:t xml:space="preserve">As between the Parties, and without limiting any right of subrogation, claims arising from the professional judgment, acts, errors, or omissions of Personnel while performing pharmacy-related duties are the responsibility of the Personnel and, to the extent applicable, the Client under its supervisory role and vicarious liability principles, and are not assumed by PharmaKind, which does not direct such professional judgment.</w:t>
      </w:r>
    </w:p>
    <w:p>
      <w:pPr>
        <w:pStyle w:val="Heading1"/>
        <w:spacing w:after="140" w:before="320"/>
      </w:pPr>
      <w:r>
        <w:rPr>
          <w:b/>
          <w:bCs/>
          <w:color w:val="1F3A5F"/>
          <w:sz w:val="26"/>
          <w:szCs w:val="26"/>
        </w:rPr>
        <w:t xml:space="preserve">9. Limitation of Liability</w:t>
      </w:r>
    </w:p>
    <w:p>
      <w:pPr>
        <w:spacing w:after="140"/>
      </w:pPr>
      <w:r>
        <w:rPr>
          <w:sz w:val="21"/>
          <w:szCs w:val="21"/>
        </w:rPr>
        <w:t xml:space="preserve">TO THE MAXIMUM EXTENT PERMITTED BY APPLICABLE LAW, NEITHER PARTY WILL BE LIABLE TO THE OTHER FOR ANY INDIRECT, INCIDENTAL, SPECIAL, CONSEQUENTIAL, OR PUNITIVE DAMAGES, OR FOR LOSS OF PROFITS, REVENUE, OR DATA, ARISING OUT OF THIS AGREEMENT, WHETHER IN CONTRACT, TORT, OR OTHERWISE, EVEN IF ADVISED OF THE POSSIBILITY OF SUCH DAMAGES. PHARMAKIND'S AGGREGATE LIABILITY UNDER THIS AGREEMENT WILL NOT EXCEED THE FEES PAID BY CLIENT TO PHARMAKIND IN THE [SIX (6)] MONTHS PRECEDING THE EVENT GIVING RISE TO THE CLAIM. THIS LIMITATION DOES NOT APPLY TO (I) A PARTY'S INDEMNIFICATION OBLIGATIONS, (II) BREACH OF CONFIDENTIALITY, OR (III) DAMAGES ARISING FROM GROSS NEGLIGENCE OR WILFUL MISCONDUCT, WHERE PERMITTED BY LAW.</w:t>
      </w:r>
    </w:p>
    <w:p>
      <w:pPr>
        <w:pStyle w:val="Heading1"/>
        <w:spacing w:after="140" w:before="320"/>
      </w:pPr>
      <w:r>
        <w:rPr>
          <w:b/>
          <w:bCs/>
          <w:color w:val="1F3A5F"/>
          <w:sz w:val="26"/>
          <w:szCs w:val="26"/>
        </w:rPr>
        <w:t xml:space="preserve">10. Confidentiality and Privacy</w:t>
      </w:r>
    </w:p>
    <w:p>
      <w:pPr>
        <w:spacing w:after="140"/>
      </w:pPr>
      <w:r>
        <w:rPr>
          <w:sz w:val="21"/>
          <w:szCs w:val="21"/>
        </w:rPr>
        <w:t xml:space="preserve">Each Party will protect the other's confidential information using at least the same degree of care it uses to protect its own confidential information, and not less than a reasonable standard of care.</w:t>
      </w:r>
    </w:p>
    <w:p>
      <w:pPr>
        <w:spacing w:after="140"/>
      </w:pPr>
      <w:r>
        <w:rPr>
          <w:sz w:val="21"/>
          <w:szCs w:val="21"/>
        </w:rPr>
        <w:t xml:space="preserve">Where Personnel will have access to personal health information in the course of an Assignment, the Parties agree to comply with the Personal Information Protection and Electronic Documents Act (PIPEDA) and applicable substantially similar provincial health privacy legislation (e.g., PHIPA in Ontario). The Client, as the health information custodian, remains responsible for directing Personnel's compliance with its own privacy policies and breach-notification protocols while Personnel are on Assignment. The Parties will execute a separate data-sharing or privacy addendum if required by applicable law or Client policy.</w:t>
      </w:r>
    </w:p>
    <w:p>
      <w:pPr>
        <w:pStyle w:val="Heading1"/>
        <w:spacing w:after="140" w:before="320"/>
      </w:pPr>
      <w:r>
        <w:rPr>
          <w:b/>
          <w:bCs/>
          <w:color w:val="1F3A5F"/>
          <w:sz w:val="26"/>
          <w:szCs w:val="26"/>
        </w:rPr>
        <w:t xml:space="preserve">11. Independent Contractor Status of PharmaKind</w:t>
      </w:r>
    </w:p>
    <w:p>
      <w:pPr>
        <w:spacing w:after="140"/>
      </w:pPr>
      <w:r>
        <w:rPr>
          <w:sz w:val="21"/>
          <w:szCs w:val="21"/>
        </w:rPr>
        <w:t xml:space="preserve">PharmaKind is an independent contractor of the Client. Nothing in this Agreement creates a partnership, joint venture, franchise, or agency relationship between the Parties. Personnel placed under this Agreement are not employees of the Client by virtue of this Agreement alone; their employment classification is governed separately as between PharmaKind and each individual (or, where applicable, directly between Client and Personnel following a permitted conversion).</w:t>
      </w:r>
    </w:p>
    <w:p>
      <w:pPr>
        <w:pStyle w:val="Heading1"/>
        <w:spacing w:after="140" w:before="320"/>
      </w:pPr>
      <w:r>
        <w:rPr>
          <w:b/>
          <w:bCs/>
          <w:color w:val="1F3A5F"/>
          <w:sz w:val="26"/>
          <w:szCs w:val="26"/>
        </w:rPr>
        <w:t xml:space="preserve">12. Term and Termination</w:t>
      </w:r>
    </w:p>
    <w:p>
      <w:pPr>
        <w:spacing w:after="140"/>
      </w:pPr>
      <w:r>
        <w:rPr>
          <w:sz w:val="21"/>
          <w:szCs w:val="21"/>
        </w:rPr>
        <w:t xml:space="preserve">This Agreement commences on the Effective Date and continues until terminated by either Party on [30] days' written notice. Either Party may terminate immediately for the other's material breach not cured within [15] days of written notice, or immediately upon the other Party's insolvency, licence revocation, or loss of good standing with a Regulatory College. Termination of this Agreement does not affect Order Forms already in progress unless otherwise agreed, and Sections 7 through 11, 14, and 15 survive termination.</w:t>
      </w:r>
    </w:p>
    <w:p>
      <w:pPr>
        <w:pStyle w:val="Heading1"/>
        <w:spacing w:after="140" w:before="320"/>
      </w:pPr>
      <w:r>
        <w:rPr>
          <w:b/>
          <w:bCs/>
          <w:color w:val="1F3A5F"/>
          <w:sz w:val="26"/>
          <w:szCs w:val="26"/>
        </w:rPr>
        <w:t xml:space="preserve">13. Compliance with Laws</w:t>
      </w:r>
    </w:p>
    <w:p>
      <w:pPr>
        <w:spacing w:after="140"/>
      </w:pPr>
      <w:r>
        <w:rPr>
          <w:sz w:val="21"/>
          <w:szCs w:val="21"/>
        </w:rPr>
        <w:t xml:space="preserve">Each Party will comply with all applicable federal, provincial, and municipal laws, including those governing pharmacy practice, employment standards, human rights, occupational health and safety, controlled substances, and privacy.</w:t>
      </w:r>
    </w:p>
    <w:p>
      <w:pPr>
        <w:pStyle w:val="Heading1"/>
        <w:spacing w:after="140" w:before="320"/>
      </w:pPr>
      <w:r>
        <w:rPr>
          <w:b/>
          <w:bCs/>
          <w:color w:val="1F3A5F"/>
          <w:sz w:val="26"/>
          <w:szCs w:val="26"/>
        </w:rPr>
        <w:t xml:space="preserve">14. Force Majeure</w:t>
      </w:r>
    </w:p>
    <w:p>
      <w:pPr>
        <w:spacing w:after="140"/>
      </w:pPr>
      <w:r>
        <w:rPr>
          <w:sz w:val="21"/>
          <w:szCs w:val="21"/>
        </w:rPr>
        <w:t xml:space="preserve">Neither Party is liable for delay or failure to perform caused by events beyond its reasonable control, including natural disaster, pandemic, labour disruption, or governmental action.</w:t>
      </w:r>
    </w:p>
    <w:p>
      <w:pPr>
        <w:pStyle w:val="Heading1"/>
        <w:spacing w:after="140" w:before="320"/>
      </w:pPr>
      <w:r>
        <w:rPr>
          <w:b/>
          <w:bCs/>
          <w:color w:val="1F3A5F"/>
          <w:sz w:val="26"/>
          <w:szCs w:val="26"/>
        </w:rPr>
        <w:t xml:space="preserve">15. Governing Law and Dispute Resolution</w:t>
      </w:r>
    </w:p>
    <w:p>
      <w:pPr>
        <w:spacing w:after="140"/>
      </w:pPr>
      <w:r>
        <w:rPr>
          <w:sz w:val="21"/>
          <w:szCs w:val="21"/>
        </w:rPr>
        <w:t xml:space="preserve">This Agreement is governed by the laws of the Province of [PROVINCE] and the federal laws of Canada applicable therein. The Parties will first attempt to resolve any dispute through good-faith negotiation, failing which the dispute will be referred to mediation, and if unresolved within [30] days, to binding arbitration in [CITY, PROVINCE] under the [Provincial] Arbitration Act, or to the courts of [PROVINCE] if either Party elects. [Confirm whether arbitration or court litigation is preferred before finalizing.]</w:t>
      </w:r>
    </w:p>
    <w:p>
      <w:pPr>
        <w:pStyle w:val="Heading1"/>
        <w:spacing w:after="140" w:before="320"/>
      </w:pPr>
      <w:r>
        <w:rPr>
          <w:b/>
          <w:bCs/>
          <w:color w:val="1F3A5F"/>
          <w:sz w:val="26"/>
          <w:szCs w:val="26"/>
        </w:rPr>
        <w:t xml:space="preserve">16. General</w:t>
      </w:r>
    </w:p>
    <w:p>
      <w:pPr>
        <w:pStyle w:val="ListParagraph"/>
        <w:numPr>
          <w:ilvl w:val="0"/>
          <w:numId w:val="1"/>
        </w:numPr>
        <w:spacing w:after="80"/>
      </w:pPr>
      <w:r>
        <w:rPr>
          <w:sz w:val="21"/>
          <w:szCs w:val="21"/>
        </w:rPr>
        <w:t xml:space="preserve">Entire Agreement: This Agreement, together with all Order Forms, constitutes the entire agreement between the Parties regarding its subject matter.</w:t>
      </w:r>
    </w:p>
    <w:p>
      <w:pPr>
        <w:pStyle w:val="ListParagraph"/>
        <w:numPr>
          <w:ilvl w:val="0"/>
          <w:numId w:val="1"/>
        </w:numPr>
        <w:spacing w:after="80"/>
      </w:pPr>
      <w:r>
        <w:rPr>
          <w:sz w:val="21"/>
          <w:szCs w:val="21"/>
        </w:rPr>
        <w:t xml:space="preserve">Amendment: Any amendment must be in writing and signed by both Parties.</w:t>
      </w:r>
    </w:p>
    <w:p>
      <w:pPr>
        <w:pStyle w:val="ListParagraph"/>
        <w:numPr>
          <w:ilvl w:val="0"/>
          <w:numId w:val="1"/>
        </w:numPr>
        <w:spacing w:after="80"/>
      </w:pPr>
      <w:r>
        <w:rPr>
          <w:sz w:val="21"/>
          <w:szCs w:val="21"/>
        </w:rPr>
        <w:t xml:space="preserve">Assignment: Neither Party may assign this Agreement without the other's prior written consent, except in connection with a merger, acquisition, or sale of substantially all assets.</w:t>
      </w:r>
    </w:p>
    <w:p>
      <w:pPr>
        <w:pStyle w:val="ListParagraph"/>
        <w:numPr>
          <w:ilvl w:val="0"/>
          <w:numId w:val="1"/>
        </w:numPr>
        <w:spacing w:after="80"/>
      </w:pPr>
      <w:r>
        <w:rPr>
          <w:sz w:val="21"/>
          <w:szCs w:val="21"/>
        </w:rPr>
        <w:t xml:space="preserve">Severability: If any provision is held invalid or unenforceable, the remaining provisions remain in full force and effect.</w:t>
      </w:r>
    </w:p>
    <w:p>
      <w:pPr>
        <w:pStyle w:val="ListParagraph"/>
        <w:numPr>
          <w:ilvl w:val="0"/>
          <w:numId w:val="1"/>
        </w:numPr>
        <w:spacing w:after="80"/>
      </w:pPr>
      <w:r>
        <w:rPr>
          <w:sz w:val="21"/>
          <w:szCs w:val="21"/>
        </w:rPr>
        <w:t xml:space="preserve">Notices: Notices must be in writing and delivered to the addresses set out in the applicable Order Form or as otherwise designated in writing.</w:t>
      </w:r>
    </w:p>
    <w:p>
      <w:pPr>
        <w:pStyle w:val="ListParagraph"/>
        <w:numPr>
          <w:ilvl w:val="0"/>
          <w:numId w:val="1"/>
        </w:numPr>
        <w:spacing w:after="80"/>
      </w:pPr>
      <w:r>
        <w:rPr>
          <w:sz w:val="21"/>
          <w:szCs w:val="21"/>
        </w:rPr>
        <w:t xml:space="preserve">Counterparts: This Agreement may be executed in counterparts, including by electronic signature, each of which is deemed an original.</w:t>
      </w:r>
    </w:p>
    <w:p>
      <w:pPr>
        <w:spacing w:after="200" w:before="400"/>
      </w:pPr>
    </w:p>
    <w:p>
      <w:pPr>
        <w:spacing w:after="300"/>
      </w:pPr>
      <w:r>
        <w:rPr>
          <w:sz w:val="21"/>
          <w:szCs w:val="21"/>
        </w:rPr>
        <w:t xml:space="preserve">IN WITNESS WHEREOF the parties have executed this Agreement.</w:t>
      </w:r>
    </w:p>
    <w:tbl>
      <w:tblPr>
        <w:tblW w:type="pct" w:w="100%"/>
        <w:tblBorders>
          <w:top w:val="none"/>
          <w:left w:val="none"/>
          <w:bottom w:val="none"/>
          <w:right w:val="none"/>
          <w:insideH w:val="none"/>
          <w:insideV w:val="none"/>
        </w:tblBorders>
      </w:tblPr>
      <w:tblGrid>
        <w:gridCol w:w="100"/>
        <w:gridCol w:w="100"/>
      </w:tblGrid>
      <w:tr>
        <w:tc>
          <w:tcPr>
            <w:tcW w:type="pct" w:w="50%"/>
            <w:tcBorders>
              <w:top w:val="none"/>
              <w:left w:val="none"/>
              <w:bottom w:val="none"/>
              <w:right w:val="none"/>
            </w:tcBorders>
            <w:tcMar>
              <w:top w:type="dxa" w:w="100"/>
              <w:right w:type="dxa" w:w="200"/>
            </w:tcMar>
          </w:tcPr>
          <w:p>
            <w:pPr>
              <w:spacing w:after="400"/>
            </w:pPr>
            <w:r>
              <w:rPr>
                <w:sz w:val="20"/>
                <w:szCs w:val="20"/>
              </w:rPr>
              <w:t xml:space="preserve">Signature: ______________________________</w:t>
            </w:r>
          </w:p>
          <w:p>
            <w:pPr>
              <w:spacing w:after="200"/>
            </w:pPr>
            <w:r>
              <w:rPr>
                <w:sz w:val="20"/>
                <w:szCs w:val="20"/>
              </w:rPr>
              <w:t xml:space="preserve">Name: ______________________________</w:t>
            </w:r>
          </w:p>
          <w:p>
            <w:pPr>
              <w:spacing w:after="200"/>
            </w:pPr>
            <w:r>
              <w:rPr>
                <w:sz w:val="20"/>
                <w:szCs w:val="20"/>
              </w:rPr>
              <w:t xml:space="preserve">Title: ______________________________</w:t>
            </w:r>
          </w:p>
          <w:p>
            <w:pPr>
              <w:spacing w:after="200"/>
            </w:pPr>
            <w:r>
              <w:rPr>
                <w:sz w:val="20"/>
                <w:szCs w:val="20"/>
              </w:rPr>
              <w:t xml:space="preserve">Date: ______________________________</w:t>
            </w:r>
          </w:p>
        </w:tc>
        <w:tc>
          <w:tcPr>
            <w:tcW w:type="pct" w:w="50%"/>
            <w:tcBorders>
              <w:top w:val="none"/>
              <w:left w:val="none"/>
              <w:bottom w:val="none"/>
              <w:right w:val="none"/>
            </w:tcBorders>
            <w:tcMar>
              <w:top w:type="dxa" w:w="100"/>
              <w:right w:type="dxa" w:w="200"/>
            </w:tcMar>
          </w:tcPr>
          <w:p>
            <w:pPr>
              <w:spacing w:after="400"/>
            </w:pPr>
            <w:r>
              <w:rPr>
                <w:sz w:val="20"/>
                <w:szCs w:val="20"/>
              </w:rPr>
              <w:t xml:space="preserve">Signature: ______________________________</w:t>
            </w:r>
          </w:p>
          <w:p>
            <w:pPr>
              <w:spacing w:after="200"/>
            </w:pPr>
            <w:r>
              <w:rPr>
                <w:sz w:val="20"/>
                <w:szCs w:val="20"/>
              </w:rPr>
              <w:t xml:space="preserve">Name: ______________________________</w:t>
            </w:r>
          </w:p>
          <w:p>
            <w:pPr>
              <w:spacing w:after="200"/>
            </w:pPr>
            <w:r>
              <w:rPr>
                <w:sz w:val="20"/>
                <w:szCs w:val="20"/>
              </w:rPr>
              <w:t xml:space="preserve">Title: ______________________________</w:t>
            </w:r>
          </w:p>
          <w:p>
            <w:pPr>
              <w:spacing w:after="200"/>
            </w:pPr>
            <w:r>
              <w:rPr>
                <w:sz w:val="20"/>
                <w:szCs w:val="20"/>
              </w:rPr>
              <w:t xml:space="preserve">Date: ______________________________</w:t>
            </w:r>
          </w:p>
        </w:tc>
      </w:tr>
    </w:tbl>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6"/>
        <w:szCs w:val="16"/>
      </w:rPr>
      <w:t xml:space="preserve">Page </w:t>
    </w:r>
    <w:r>
      <w:rPr>
        <w:color w:val="999999"/>
        <w:sz w:val="16"/>
        <w:szCs w:val="16"/>
      </w:rPr>
      <w:fldChar w:fldCharType="begin"/>
      <w:instrText xml:space="preserve">PAGE</w:instrText>
      <w:fldChar w:fldCharType="separate"/>
      <w:fldChar w:fldCharType="end"/>
    </w:r>
    <w:r>
      <w:rPr>
        <w:color w:val="999999"/>
        <w:sz w:val="16"/>
        <w:szCs w:val="16"/>
      </w:rPr>
      <w:t xml:space="preserve"> of </w:t>
    </w:r>
    <w:r>
      <w:rPr>
        <w:color w:val="99999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999999"/>
        <w:sz w:val="16"/>
        <w:szCs w:val="16"/>
      </w:rPr>
      <w:t xml:space="preserve">PharmaKind — Confidential Draft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2026-08-28T04:25:27.669Z</dcterms:created>
  <dcterms:modified xsi:type="dcterms:W3CDTF">2026-08-28T04:25:27.682Z</dcterms:modified>
</cp:coreProperties>
</file>

<file path=docProps/custom.xml><?xml version="1.0" encoding="utf-8"?>
<Properties xmlns="http://schemas.openxmlformats.org/officeDocument/2006/custom-properties" xmlns:vt="http://schemas.openxmlformats.org/officeDocument/2006/docPropsVTypes"/>
</file>