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b/>
          <w:bCs/>
          <w:color w:val="1F3A5F"/>
          <w:sz w:val="40"/>
          <w:szCs w:val="40"/>
        </w:rPr>
        <w:t xml:space="preserve">Personnel Services Agreement</w:t>
      </w:r>
    </w:p>
    <w:p>
      <w:pPr>
        <w:spacing w:after="300"/>
      </w:pPr>
      <w:r>
        <w:rPr>
          <w:i/>
          <w:iCs/>
          <w:color w:val="5A5A5A"/>
          <w:sz w:val="22"/>
          <w:szCs w:val="22"/>
        </w:rPr>
        <w:t xml:space="preserve">PharmaKind Inc. — Pharmacist / Pharmacy Technician Engagement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shd w:fill="EDEFF2" w:val="clear"/>
            <w:tcMar>
              <w:top w:type="dxa" w:w="150"/>
              <w:left w:type="dxa" w:w="150"/>
              <w:bottom w:type="dxa" w:w="150"/>
              <w:right w:type="dxa" w:w="150"/>
            </w:tcMar>
          </w:tcPr>
          <w:p>
            <w:pPr>
              <w:spacing w:after="80"/>
            </w:pPr>
            <w:r>
              <w:rPr>
                <w:b/>
                <w:bCs/>
                <w:i/>
                <w:iCs/>
                <w:color w:val="444444"/>
                <w:sz w:val="18"/>
                <w:szCs w:val="18"/>
              </w:rPr>
              <w:t xml:space="preserve">DRAFT TEMPLATE — NOT LEGAL ADVICE</w:t>
            </w:r>
          </w:p>
          <w:p>
            <w:pPr>
              <w:spacing w:after="0"/>
            </w:pPr>
            <w:r>
              <w:rPr>
                <w:b w:val="false"/>
                <w:bCs w:val="false"/>
                <w:i/>
                <w:iCs/>
                <w:color w:val="444444"/>
                <w:sz w:val="18"/>
                <w:szCs w:val="18"/>
              </w:rPr>
              <w:t xml:space="preserve">This document is a discussion draft only and has not been reviewed by a lawyer. Employment/independent-contractor classification rules differ significantly by province (e.g., Ontario's ESA restrictions on non-competes, Quebec's Civil Code and CNESST regime, B.C.'s Employment Standards Act) and misclassification carries real legal and financial risk. Have this reviewed by an employment lawyer before use, and confirm whether each individual will be engaged as an employee or a genuine independent contractor before selecting the applicable bracketed provisions.</w:t>
            </w:r>
          </w:p>
        </w:tc>
      </w:tr>
    </w:tbl>
    <w:p>
      <w:pPr>
        <w:spacing w:after="200"/>
      </w:pPr>
    </w:p>
    <w:p>
      <w:pPr>
        <w:spacing w:after="140"/>
      </w:pPr>
      <w:r>
        <w:rPr>
          <w:b/>
          <w:bCs/>
          <w:sz w:val="21"/>
          <w:szCs w:val="21"/>
        </w:rPr>
        <w:t xml:space="preserve">This Personnel Services Agreement </w:t>
      </w:r>
      <w:r>
        <w:rPr>
          <w:sz w:val="21"/>
          <w:szCs w:val="21"/>
        </w:rPr>
        <w:t xml:space="preserve">(the “Agreement”) is made as of [DATE] between:</w:t>
      </w:r>
    </w:p>
    <w:p>
      <w:pPr>
        <w:spacing w:after="140"/>
      </w:pPr>
      <w:r>
        <w:rPr>
          <w:b/>
          <w:bCs/>
          <w:sz w:val="21"/>
          <w:szCs w:val="21"/>
        </w:rPr>
        <w:t xml:space="preserve">PharmaKind Inc.</w:t>
      </w:r>
      <w:r>
        <w:rPr>
          <w:sz w:val="21"/>
          <w:szCs w:val="21"/>
        </w:rPr>
        <w:t xml:space="preserve">, a corporation existing under the laws of [Province] (“PharmaKind”), and</w:t>
      </w:r>
    </w:p>
    <w:p>
      <w:pPr>
        <w:spacing w:after="140"/>
      </w:pPr>
      <w:r>
        <w:rPr>
          <w:b/>
          <w:bCs/>
          <w:sz w:val="21"/>
          <w:szCs w:val="21"/>
        </w:rPr>
        <w:t xml:space="preserve">[WORKER FULL LEGAL NAME]</w:t>
      </w:r>
      <w:r>
        <w:rPr>
          <w:sz w:val="21"/>
          <w:szCs w:val="21"/>
        </w:rPr>
        <w:t xml:space="preserve">, a [licensed pharmacist / registered pharmacy technician] holding registration number [REG. NO.] with the [Regulatory College] (the “Contractor” or “Worker”),</w:t>
      </w:r>
    </w:p>
    <w:p>
      <w:pPr>
        <w:spacing w:after="140"/>
      </w:pPr>
      <w:r>
        <w:rPr>
          <w:sz w:val="21"/>
          <w:szCs w:val="21"/>
        </w:rPr>
        <w:t xml:space="preserve">(each a “Party” and together the “Parties”).</w:t>
      </w:r>
    </w:p>
    <w:p>
      <w:pPr>
        <w:spacing w:after="140"/>
      </w:pPr>
      <w:r>
        <w:rPr>
          <w:b/>
          <w:bCs/>
          <w:sz w:val="21"/>
          <w:szCs w:val="21"/>
        </w:rPr>
        <w:t xml:space="preserve">Note: </w:t>
      </w:r>
      <w:r>
        <w:rPr>
          <w:sz w:val="21"/>
          <w:szCs w:val="21"/>
        </w:rPr>
        <w:t xml:space="preserve">Sections below are drafted assuming an independent contractor relationship, which is common in per-diem/locum pharmacy staffing. If any Worker will instead be a W-2-style employee, substitute the bracketed employee-status clauses and remove the independent-contractor representations — using contractor language for a de facto employee creates misclassification exposure.</w:t>
      </w:r>
    </w:p>
    <w:p>
      <w:pPr>
        <w:pStyle w:val="Heading1"/>
        <w:spacing w:after="140" w:before="320"/>
      </w:pPr>
      <w:r>
        <w:rPr>
          <w:b/>
          <w:bCs/>
          <w:color w:val="1F3A5F"/>
          <w:sz w:val="26"/>
          <w:szCs w:val="26"/>
        </w:rPr>
        <w:t xml:space="preserve">1. Engagement and Nature of Relationship</w:t>
      </w:r>
    </w:p>
    <w:p>
      <w:pPr>
        <w:spacing w:after="140"/>
      </w:pPr>
      <w:r>
        <w:rPr>
          <w:sz w:val="21"/>
          <w:szCs w:val="21"/>
        </w:rPr>
        <w:t xml:space="preserve">PharmaKind engages the Contractor, and the Contractor accepts engagement, to provide pharmacy professional services on a per-Assignment basis to PharmaKind's client pharmacies and healthcare facilities (each a “Client”), as set out in individual Assignment Confirmations issued from time to time.</w:t>
      </w:r>
    </w:p>
    <w:p>
      <w:pPr>
        <w:spacing w:after="140"/>
      </w:pPr>
      <w:r>
        <w:rPr>
          <w:b/>
          <w:bCs/>
          <w:sz w:val="21"/>
          <w:szCs w:val="21"/>
        </w:rPr>
        <w:t xml:space="preserve">Independent Contractor Status: </w:t>
      </w:r>
      <w:r>
        <w:rPr>
          <w:sz w:val="21"/>
          <w:szCs w:val="21"/>
        </w:rPr>
        <w:t xml:space="preserve">The Contractor is an independent contractor and not an employee, partner, or agent of PharmaKind. The Contractor: (a) controls the manner and means of performing professional services, subject only to the clinical and regulatory standards applicable to their profession and the Client's operational requirements; (b) is free to accept or decline any Assignment offered; (c) may (subject to confidentiality and non-solicitation obligations) provide services to other staffing agencies or directly to other clients; and (d) is responsible for remitting their own income tax, CPP/QPP contributions, and, where applicable, HST/GST. This Agreement does not guarantee any minimum number of Assignments or hours.</w:t>
      </w:r>
    </w:p>
    <w:p>
      <w:pPr>
        <w:pStyle w:val="Heading1"/>
        <w:spacing w:after="140" w:before="320"/>
      </w:pPr>
      <w:r>
        <w:rPr>
          <w:b/>
          <w:bCs/>
          <w:color w:val="1F3A5F"/>
          <w:sz w:val="26"/>
          <w:szCs w:val="26"/>
        </w:rPr>
        <w:t xml:space="preserve">2. Assignments</w:t>
      </w:r>
    </w:p>
    <w:p>
      <w:pPr>
        <w:spacing w:after="140"/>
      </w:pPr>
      <w:r>
        <w:rPr>
          <w:sz w:val="21"/>
          <w:szCs w:val="21"/>
        </w:rPr>
        <w:t xml:space="preserve">Each Assignment will be confirmed in writing (including by email or through PharmaKind's scheduling platform) and will specify the Client, location, dates/hours, role, and applicable rate. The Contractor may accept or decline any proposed Assignment. Once accepted, the Contractor agrees to attend as scheduled or provide reasonable advance notice of cancellation per PharmaKind's cancellation policy set out in [Schedule A].</w:t>
      </w:r>
    </w:p>
    <w:p>
      <w:pPr>
        <w:pStyle w:val="Heading1"/>
        <w:spacing w:after="140" w:before="320"/>
      </w:pPr>
      <w:r>
        <w:rPr>
          <w:b/>
          <w:bCs/>
          <w:color w:val="1F3A5F"/>
          <w:sz w:val="26"/>
          <w:szCs w:val="26"/>
        </w:rPr>
        <w:t xml:space="preserve">3. Licensure, Credentialing, and Compliance Representations</w:t>
      </w:r>
    </w:p>
    <w:p>
      <w:pPr>
        <w:spacing w:after="140"/>
      </w:pPr>
      <w:r>
        <w:rPr>
          <w:sz w:val="21"/>
          <w:szCs w:val="21"/>
        </w:rPr>
        <w:t xml:space="preserve">The Contractor represents and warrants, on an ongoing basis throughout the term of this Agreement, that they:</w:t>
      </w:r>
    </w:p>
    <w:p>
      <w:pPr>
        <w:pStyle w:val="ListParagraph"/>
        <w:numPr>
          <w:ilvl w:val="0"/>
          <w:numId w:val="1"/>
        </w:numPr>
        <w:spacing w:after="80"/>
      </w:pPr>
      <w:r>
        <w:rPr>
          <w:sz w:val="21"/>
          <w:szCs w:val="21"/>
        </w:rPr>
        <w:t xml:space="preserve">Hold a current, valid, and unrestricted licence/registration with the applicable Regulatory College for each province in which they accept an Assignment;</w:t>
      </w:r>
    </w:p>
    <w:p>
      <w:pPr>
        <w:pStyle w:val="ListParagraph"/>
        <w:numPr>
          <w:ilvl w:val="0"/>
          <w:numId w:val="1"/>
        </w:numPr>
        <w:spacing w:after="80"/>
      </w:pPr>
      <w:r>
        <w:rPr>
          <w:sz w:val="21"/>
          <w:szCs w:val="21"/>
        </w:rPr>
        <w:t xml:space="preserve">Are not subject to any active discipline, suspension, investigation, or practice restriction by any Regulatory College, and will immediately notify PharmaKind in writing if this changes;</w:t>
      </w:r>
    </w:p>
    <w:p>
      <w:pPr>
        <w:pStyle w:val="ListParagraph"/>
        <w:numPr>
          <w:ilvl w:val="0"/>
          <w:numId w:val="1"/>
        </w:numPr>
        <w:spacing w:after="80"/>
      </w:pPr>
      <w:r>
        <w:rPr>
          <w:sz w:val="21"/>
          <w:szCs w:val="21"/>
        </w:rPr>
        <w:t xml:space="preserve">Are not listed on any applicable federal or provincial exclusion, debarment, or ineligibility list;</w:t>
      </w:r>
    </w:p>
    <w:p>
      <w:pPr>
        <w:pStyle w:val="ListParagraph"/>
        <w:numPr>
          <w:ilvl w:val="0"/>
          <w:numId w:val="1"/>
        </w:numPr>
        <w:spacing w:after="80"/>
      </w:pPr>
      <w:r>
        <w:rPr>
          <w:sz w:val="21"/>
          <w:szCs w:val="21"/>
        </w:rPr>
        <w:t xml:space="preserve">Hold any additional certifications represented in their profile (e.g., injection certification, methadone/Controlled Substances authorization) and will provide documentation on request;</w:t>
      </w:r>
    </w:p>
    <w:p>
      <w:pPr>
        <w:pStyle w:val="ListParagraph"/>
        <w:numPr>
          <w:ilvl w:val="0"/>
          <w:numId w:val="1"/>
        </w:numPr>
        <w:spacing w:after="80"/>
      </w:pPr>
      <w:r>
        <w:rPr>
          <w:sz w:val="21"/>
          <w:szCs w:val="21"/>
        </w:rPr>
        <w:t xml:space="preserve">Will comply with all applicable federal and provincial laws governing the practice of pharmacy, including those governing Controlled Substances, and with each Client's site-specific policies while on Assignment.</w:t>
      </w:r>
    </w:p>
    <w:p>
      <w:pPr>
        <w:spacing w:after="140"/>
      </w:pPr>
      <w:r>
        <w:rPr>
          <w:sz w:val="21"/>
          <w:szCs w:val="21"/>
        </w:rPr>
        <w:t xml:space="preserve">Failure to maintain the above may result in immediate suspension or termination of Assignments without notice.</w:t>
      </w:r>
    </w:p>
    <w:p>
      <w:pPr>
        <w:pStyle w:val="Heading1"/>
        <w:spacing w:after="140" w:before="320"/>
      </w:pPr>
      <w:r>
        <w:rPr>
          <w:b/>
          <w:bCs/>
          <w:color w:val="1F3A5F"/>
          <w:sz w:val="26"/>
          <w:szCs w:val="26"/>
        </w:rPr>
        <w:t xml:space="preserve">4. Standard of Care and Professional Independence</w:t>
      </w:r>
    </w:p>
    <w:p>
      <w:pPr>
        <w:spacing w:after="140"/>
      </w:pPr>
      <w:r>
        <w:rPr>
          <w:sz w:val="21"/>
          <w:szCs w:val="21"/>
        </w:rPr>
        <w:t xml:space="preserve">The Contractor will perform all services in accordance with the standard of care applicable to their profession and the code of ethics and practice standards of their Regulatory College. PharmaKind does not direct, control, or supervise the Contractor's clinical judgment; such judgment remains the Contractor's sole professional responsibility at all times, including while on Client premises.</w:t>
      </w:r>
    </w:p>
    <w:p>
      <w:pPr>
        <w:pStyle w:val="Heading1"/>
        <w:spacing w:after="140" w:before="320"/>
      </w:pPr>
      <w:r>
        <w:rPr>
          <w:b/>
          <w:bCs/>
          <w:color w:val="1F3A5F"/>
          <w:sz w:val="26"/>
          <w:szCs w:val="26"/>
        </w:rPr>
        <w:t xml:space="preserve">5. Professional Liability Insurance</w:t>
      </w:r>
    </w:p>
    <w:p>
      <w:pPr>
        <w:spacing w:after="140"/>
      </w:pPr>
      <w:r>
        <w:rPr>
          <w:sz w:val="21"/>
          <w:szCs w:val="21"/>
        </w:rPr>
        <w:t xml:space="preserve">The Contractor will maintain professional liability (malpractice) insurance of not less than $[2,000,000] per occurrence for the duration of this Agreement and will provide proof of coverage on request. [Confirm whether PharmaKind will additionally provide contingent/excess coverage, and reconcile with Regulatory College mandatory insurance requirements, which may already satisfy this obligation.]</w:t>
      </w:r>
    </w:p>
    <w:p>
      <w:pPr>
        <w:pStyle w:val="Heading1"/>
        <w:spacing w:after="140" w:before="320"/>
      </w:pPr>
      <w:r>
        <w:rPr>
          <w:b/>
          <w:bCs/>
          <w:color w:val="1F3A5F"/>
          <w:sz w:val="26"/>
          <w:szCs w:val="26"/>
        </w:rPr>
        <w:t xml:space="preserve">6. Compensation</w:t>
      </w:r>
    </w:p>
    <w:p>
      <w:pPr>
        <w:spacing w:after="140"/>
      </w:pPr>
      <w:r>
        <w:rPr>
          <w:sz w:val="21"/>
          <w:szCs w:val="21"/>
        </w:rPr>
        <w:t xml:space="preserve">PharmaKind will pay the Contractor the rate specified in each Assignment Confirmation, less applicable statutory deductions if the engagement is later determined to be that of an employee. Invoices (if applicable) are due on the schedule set out in [Schedule A]. No benefits, vacation pay, or statutory holiday pay are provided under an independent contractor engagement, consistent with the Contractor's status under Section 1.</w:t>
      </w:r>
    </w:p>
    <w:p>
      <w:pPr>
        <w:pStyle w:val="Heading1"/>
        <w:spacing w:after="140" w:before="320"/>
      </w:pPr>
      <w:r>
        <w:rPr>
          <w:b/>
          <w:bCs/>
          <w:color w:val="1F3A5F"/>
          <w:sz w:val="26"/>
          <w:szCs w:val="26"/>
        </w:rPr>
        <w:t xml:space="preserve">7. Background Checks and Consent</w:t>
      </w:r>
    </w:p>
    <w:p>
      <w:pPr>
        <w:spacing w:after="140"/>
      </w:pPr>
      <w:r>
        <w:rPr>
          <w:sz w:val="21"/>
          <w:szCs w:val="21"/>
        </w:rPr>
        <w:t xml:space="preserve">The Contractor consents to PharmaKind conducting licence verification, reference checks, and, where legally permitted, a criminal record check as a condition of engagement and on a periodic basis thereafter, and to sharing verification results with prospective Clients for placement purposes.</w:t>
      </w:r>
    </w:p>
    <w:p>
      <w:pPr>
        <w:pStyle w:val="Heading1"/>
        <w:spacing w:after="140" w:before="320"/>
      </w:pPr>
      <w:r>
        <w:rPr>
          <w:b/>
          <w:bCs/>
          <w:color w:val="1F3A5F"/>
          <w:sz w:val="26"/>
          <w:szCs w:val="26"/>
        </w:rPr>
        <w:t xml:space="preserve">8. Confidentiality and Privacy (PHI)</w:t>
      </w:r>
    </w:p>
    <w:p>
      <w:pPr>
        <w:spacing w:after="140"/>
      </w:pPr>
      <w:r>
        <w:rPr>
          <w:sz w:val="21"/>
          <w:szCs w:val="21"/>
        </w:rPr>
        <w:t xml:space="preserve">The Contractor will keep confidential all proprietary information of PharmaKind and its Clients. Where an Assignment involves access to personal health information, the Contractor will comply with PIPEDA and applicable provincial health-privacy legislation (e.g., PHIPA in Ontario), the Client's privacy policies, and professional confidentiality obligations under their Regulatory College, and will not access, use, or disclose personal health information except as required to perform the Assignment.</w:t>
      </w:r>
    </w:p>
    <w:p>
      <w:pPr>
        <w:pStyle w:val="Heading1"/>
        <w:spacing w:after="140" w:before="320"/>
      </w:pPr>
      <w:r>
        <w:rPr>
          <w:b/>
          <w:bCs/>
          <w:color w:val="1F3A5F"/>
          <w:sz w:val="26"/>
          <w:szCs w:val="26"/>
        </w:rPr>
        <w:t xml:space="preserve">9. Workers' Compensation</w:t>
      </w:r>
    </w:p>
    <w:p>
      <w:pPr>
        <w:spacing w:after="140"/>
      </w:pPr>
      <w:r>
        <w:rPr>
          <w:sz w:val="21"/>
          <w:szCs w:val="21"/>
        </w:rPr>
        <w:t xml:space="preserve">[If contractor:] The Contractor is responsible for their own workers' compensation (WSIB/CNESST/WorkSafeBC, as applicable) coverage or optional personal coverage, unless mandatory coverage for the Contractor's category applies in the relevant province, in which case PharmaKind will register and remit as required by law. [If employee:] PharmaKind will maintain statutory workers' compensation coverage for the Worker in accordance with applicable provincial legislation.</w:t>
      </w:r>
    </w:p>
    <w:p>
      <w:pPr>
        <w:pStyle w:val="Heading1"/>
        <w:spacing w:after="140" w:before="320"/>
      </w:pPr>
      <w:r>
        <w:rPr>
          <w:b/>
          <w:bCs/>
          <w:color w:val="1F3A5F"/>
          <w:sz w:val="26"/>
          <w:szCs w:val="26"/>
        </w:rPr>
        <w:t xml:space="preserve">10. Indemnification</w:t>
      </w:r>
    </w:p>
    <w:p>
      <w:pPr>
        <w:spacing w:after="140"/>
      </w:pPr>
      <w:r>
        <w:rPr>
          <w:b/>
          <w:bCs/>
          <w:sz w:val="21"/>
          <w:szCs w:val="21"/>
        </w:rPr>
        <w:t xml:space="preserve">By the Contractor: </w:t>
      </w:r>
      <w:r>
        <w:rPr>
          <w:sz w:val="21"/>
          <w:szCs w:val="21"/>
        </w:rPr>
        <w:t xml:space="preserve">The Contractor will indemnify PharmaKind and its Clients against claims arising from the Contractor's professional negligence, misconduct, breach of Regulatory College standards, or breach of this Agreement.</w:t>
      </w:r>
    </w:p>
    <w:p>
      <w:pPr>
        <w:spacing w:after="140"/>
      </w:pPr>
      <w:r>
        <w:rPr>
          <w:b/>
          <w:bCs/>
          <w:sz w:val="21"/>
          <w:szCs w:val="21"/>
        </w:rPr>
        <w:t xml:space="preserve">By PharmaKind: </w:t>
      </w:r>
      <w:r>
        <w:rPr>
          <w:sz w:val="21"/>
          <w:szCs w:val="21"/>
        </w:rPr>
        <w:t xml:space="preserve">PharmaKind will indemnify the Contractor against claims arising from PharmaKind's negligent misrepresentation of the Assignment terms to the Contractor, excluding any claim relating to the Contractor's own professional acts or omissions.</w:t>
      </w:r>
    </w:p>
    <w:p>
      <w:pPr>
        <w:pStyle w:val="Heading1"/>
        <w:spacing w:after="140" w:before="320"/>
      </w:pPr>
      <w:r>
        <w:rPr>
          <w:b/>
          <w:bCs/>
          <w:color w:val="1F3A5F"/>
          <w:sz w:val="26"/>
          <w:szCs w:val="26"/>
        </w:rPr>
        <w:t xml:space="preserve">11. Non-Solicitation</w:t>
      </w:r>
    </w:p>
    <w:p>
      <w:pPr>
        <w:spacing w:after="140"/>
      </w:pPr>
      <w:r>
        <w:rPr>
          <w:sz w:val="21"/>
          <w:szCs w:val="21"/>
        </w:rPr>
        <w:t xml:space="preserve">During the term of this Agreement and for [6] months thereafter, the Contractor will not solicit PharmaKind's Clients to bypass PharmaKind for future staffing needs the Contractor became aware of through PharmaKind. [Note: broad non-competition clauses restricting a worker's ability to accept other work are unenforceable against most employees in Ontario under the Employment Standards Act, and are strictly scrutinized elsewhere in Canada; keep any restriction narrow, time-limited, and tied to legitimate business interests, and confirm enforceability with counsel for the applicable province.]</w:t>
      </w:r>
    </w:p>
    <w:p>
      <w:pPr>
        <w:pStyle w:val="Heading1"/>
        <w:spacing w:after="140" w:before="320"/>
      </w:pPr>
      <w:r>
        <w:rPr>
          <w:b/>
          <w:bCs/>
          <w:color w:val="1F3A5F"/>
          <w:sz w:val="26"/>
          <w:szCs w:val="26"/>
        </w:rPr>
        <w:t xml:space="preserve">12. Term and Termination</w:t>
      </w:r>
    </w:p>
    <w:p>
      <w:pPr>
        <w:spacing w:after="140"/>
      </w:pPr>
      <w:r>
        <w:rPr>
          <w:sz w:val="21"/>
          <w:szCs w:val="21"/>
        </w:rPr>
        <w:t xml:space="preserve">This Agreement continues until terminated by either Party on [14] days' written notice, or immediately by PharmaKind for cause, including loss of licensure, breach of the representations in Section 3, or conduct posing a risk to patient safety. Termination does not affect accrued payment obligations for Assignments already completed.</w:t>
      </w:r>
    </w:p>
    <w:p>
      <w:pPr>
        <w:pStyle w:val="Heading1"/>
        <w:spacing w:after="140" w:before="320"/>
      </w:pPr>
      <w:r>
        <w:rPr>
          <w:b/>
          <w:bCs/>
          <w:color w:val="1F3A5F"/>
          <w:sz w:val="26"/>
          <w:szCs w:val="26"/>
        </w:rPr>
        <w:t xml:space="preserve">13. Governing Law</w:t>
      </w:r>
    </w:p>
    <w:p>
      <w:pPr>
        <w:spacing w:after="140"/>
      </w:pPr>
      <w:r>
        <w:rPr>
          <w:sz w:val="21"/>
          <w:szCs w:val="21"/>
        </w:rPr>
        <w:t xml:space="preserve">This Agreement is governed by the laws of the Province of [PROVINCE] and the federal laws of Canada applicable therein. [Confirm home province of the Contractor for enforceability of restrictive covenants and employment-standards overlays.]</w:t>
      </w:r>
    </w:p>
    <w:p>
      <w:pPr>
        <w:pStyle w:val="Heading1"/>
        <w:spacing w:after="140" w:before="320"/>
      </w:pPr>
      <w:r>
        <w:rPr>
          <w:b/>
          <w:bCs/>
          <w:color w:val="1F3A5F"/>
          <w:sz w:val="26"/>
          <w:szCs w:val="26"/>
        </w:rPr>
        <w:t xml:space="preserve">14. General</w:t>
      </w:r>
    </w:p>
    <w:p>
      <w:pPr>
        <w:pStyle w:val="ListParagraph"/>
        <w:numPr>
          <w:ilvl w:val="0"/>
          <w:numId w:val="1"/>
        </w:numPr>
        <w:spacing w:after="80"/>
      </w:pPr>
      <w:r>
        <w:rPr>
          <w:sz w:val="21"/>
          <w:szCs w:val="21"/>
        </w:rPr>
        <w:t xml:space="preserve">Entire Agreement: This Agreement and its Schedules constitute the entire agreement between the Parties.</w:t>
      </w:r>
    </w:p>
    <w:p>
      <w:pPr>
        <w:pStyle w:val="ListParagraph"/>
        <w:numPr>
          <w:ilvl w:val="0"/>
          <w:numId w:val="1"/>
        </w:numPr>
        <w:spacing w:after="80"/>
      </w:pPr>
      <w:r>
        <w:rPr>
          <w:sz w:val="21"/>
          <w:szCs w:val="21"/>
        </w:rPr>
        <w:t xml:space="preserve">Amendment: Any amendment must be in writing and signed by both Parties.</w:t>
      </w:r>
    </w:p>
    <w:p>
      <w:pPr>
        <w:pStyle w:val="ListParagraph"/>
        <w:numPr>
          <w:ilvl w:val="0"/>
          <w:numId w:val="1"/>
        </w:numPr>
        <w:spacing w:after="80"/>
      </w:pPr>
      <w:r>
        <w:rPr>
          <w:sz w:val="21"/>
          <w:szCs w:val="21"/>
        </w:rPr>
        <w:t xml:space="preserve">Assignment: The Contractor may not assign this Agreement. PharmaKind may assign it in connection with a corporate reorganization or sale of assets.</w:t>
      </w:r>
    </w:p>
    <w:p>
      <w:pPr>
        <w:pStyle w:val="ListParagraph"/>
        <w:numPr>
          <w:ilvl w:val="0"/>
          <w:numId w:val="1"/>
        </w:numPr>
        <w:spacing w:after="80"/>
      </w:pPr>
      <w:r>
        <w:rPr>
          <w:sz w:val="21"/>
          <w:szCs w:val="21"/>
        </w:rPr>
        <w:t xml:space="preserve">Severability: Invalid or unenforceable provisions will be severed without affecting the remainder of the Agreement.</w:t>
      </w:r>
    </w:p>
    <w:p>
      <w:pPr>
        <w:pStyle w:val="ListParagraph"/>
        <w:numPr>
          <w:ilvl w:val="0"/>
          <w:numId w:val="1"/>
        </w:numPr>
        <w:spacing w:after="80"/>
      </w:pPr>
      <w:r>
        <w:rPr>
          <w:sz w:val="21"/>
          <w:szCs w:val="21"/>
        </w:rPr>
        <w:t xml:space="preserve">Notices: Notices must be in writing to the addresses on file in PharmaKind's records.</w:t>
      </w:r>
    </w:p>
    <w:p>
      <w:pPr>
        <w:spacing w:after="200" w:before="400"/>
      </w:pPr>
    </w:p>
    <w:p>
      <w:pPr>
        <w:spacing w:after="300"/>
      </w:pPr>
      <w:r>
        <w:rPr>
          <w:sz w:val="21"/>
          <w:szCs w:val="21"/>
        </w:rPr>
        <w:t xml:space="preserve">IN WITNESS WHEREOF the parties have executed this Agreement.</w:t>
      </w:r>
    </w:p>
    <w:tbl>
      <w:tblPr>
        <w:tblW w:type="pct" w:w="100%"/>
        <w:tblBorders>
          <w:top w:val="none"/>
          <w:left w:val="none"/>
          <w:bottom w:val="none"/>
          <w:right w:val="none"/>
          <w:insideH w:val="none"/>
          <w:insideV w:val="none"/>
        </w:tblBorders>
      </w:tblPr>
      <w:tblGrid>
        <w:gridCol w:w="100"/>
        <w:gridCol w:w="100"/>
      </w:tblGrid>
      <w:tr>
        <w:tc>
          <w:tcPr>
            <w:tcW w:type="pct" w:w="50%"/>
            <w:tcBorders>
              <w:top w:val="none"/>
              <w:left w:val="none"/>
              <w:bottom w:val="none"/>
              <w:right w:val="none"/>
            </w:tcBorders>
            <w:tcMar>
              <w:top w:type="dxa" w:w="100"/>
              <w:right w:type="dxa" w:w="200"/>
            </w:tcMar>
          </w:tcPr>
          <w:p>
            <w:pPr>
              <w:spacing w:after="400"/>
            </w:pPr>
            <w:r>
              <w:rPr>
                <w:sz w:val="20"/>
                <w:szCs w:val="20"/>
              </w:rPr>
              <w:t xml:space="preserve">Signature: ______________________________</w:t>
            </w:r>
          </w:p>
          <w:p>
            <w:pPr>
              <w:spacing w:after="200"/>
            </w:pPr>
            <w:r>
              <w:rPr>
                <w:sz w:val="20"/>
                <w:szCs w:val="20"/>
              </w:rPr>
              <w:t xml:space="preserve">Name: ______________________________</w:t>
            </w:r>
          </w:p>
          <w:p>
            <w:pPr>
              <w:spacing w:after="200"/>
            </w:pPr>
            <w:r>
              <w:rPr>
                <w:sz w:val="20"/>
                <w:szCs w:val="20"/>
              </w:rPr>
              <w:t xml:space="preserve">Title: ______________________________</w:t>
            </w:r>
          </w:p>
          <w:p>
            <w:pPr>
              <w:spacing w:after="200"/>
            </w:pPr>
            <w:r>
              <w:rPr>
                <w:sz w:val="20"/>
                <w:szCs w:val="20"/>
              </w:rPr>
              <w:t xml:space="preserve">Date: ______________________________</w:t>
            </w:r>
          </w:p>
        </w:tc>
        <w:tc>
          <w:tcPr>
            <w:tcW w:type="pct" w:w="50%"/>
            <w:tcBorders>
              <w:top w:val="none"/>
              <w:left w:val="none"/>
              <w:bottom w:val="none"/>
              <w:right w:val="none"/>
            </w:tcBorders>
            <w:tcMar>
              <w:top w:type="dxa" w:w="100"/>
              <w:right w:type="dxa" w:w="200"/>
            </w:tcMar>
          </w:tcPr>
          <w:p>
            <w:pPr>
              <w:spacing w:after="400"/>
            </w:pPr>
            <w:r>
              <w:rPr>
                <w:sz w:val="20"/>
                <w:szCs w:val="20"/>
              </w:rPr>
              <w:t xml:space="preserve">Signature: ______________________________</w:t>
            </w:r>
          </w:p>
          <w:p>
            <w:pPr>
              <w:spacing w:after="200"/>
            </w:pPr>
            <w:r>
              <w:rPr>
                <w:sz w:val="20"/>
                <w:szCs w:val="20"/>
              </w:rPr>
              <w:t xml:space="preserve">Name: ______________________________</w:t>
            </w:r>
          </w:p>
          <w:p>
            <w:pPr>
              <w:spacing w:after="200"/>
            </w:pPr>
            <w:r>
              <w:rPr>
                <w:sz w:val="20"/>
                <w:szCs w:val="20"/>
              </w:rPr>
              <w:t xml:space="preserve">Title: ______________________________</w:t>
            </w:r>
          </w:p>
          <w:p>
            <w:pPr>
              <w:spacing w:after="200"/>
            </w:pPr>
            <w:r>
              <w:rPr>
                <w:sz w:val="20"/>
                <w:szCs w:val="20"/>
              </w:rPr>
              <w:t xml:space="preserve">Date: ______________________________</w:t>
            </w:r>
          </w:p>
        </w:tc>
      </w:tr>
    </w:tbl>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6"/>
        <w:szCs w:val="16"/>
      </w:rPr>
      <w:t xml:space="preserve">Page </w:t>
    </w:r>
    <w:r>
      <w:rPr>
        <w:color w:val="999999"/>
        <w:sz w:val="16"/>
        <w:szCs w:val="16"/>
      </w:rPr>
      <w:fldChar w:fldCharType="begin"/>
      <w:instrText xml:space="preserve">PAGE</w:instrText>
      <w:fldChar w:fldCharType="separate"/>
      <w:fldChar w:fldCharType="end"/>
    </w:r>
    <w:r>
      <w:rPr>
        <w:color w:val="999999"/>
        <w:sz w:val="16"/>
        <w:szCs w:val="16"/>
      </w:rPr>
      <w:t xml:space="preserve"> of </w:t>
    </w:r>
    <w:r>
      <w:rPr>
        <w:color w:val="999999"/>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999999"/>
        <w:sz w:val="16"/>
        <w:szCs w:val="16"/>
      </w:rPr>
      <w:t xml:space="preserve">PharmaKind — Confidential Draft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2026-08-28T04:26:08.410Z</dcterms:created>
  <dcterms:modified xsi:type="dcterms:W3CDTF">2026-08-28T04:26:08.410Z</dcterms:modified>
</cp:coreProperties>
</file>

<file path=docProps/custom.xml><?xml version="1.0" encoding="utf-8"?>
<Properties xmlns="http://schemas.openxmlformats.org/officeDocument/2006/custom-properties" xmlns:vt="http://schemas.openxmlformats.org/officeDocument/2006/docPropsVTypes"/>
</file>