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45A7" w14:textId="77777777" w:rsidR="00065694" w:rsidRDefault="00065694">
      <w:pPr>
        <w:spacing w:after="600"/>
      </w:pPr>
    </w:p>
    <w:p w14:paraId="0AC2F7BB" w14:textId="77777777" w:rsidR="00065694" w:rsidRDefault="00000000">
      <w:pPr>
        <w:jc w:val="center"/>
      </w:pPr>
      <w:r>
        <w:rPr>
          <w:noProof/>
        </w:rPr>
        <w:drawing>
          <wp:inline distT="0" distB="0" distL="0" distR="0" wp14:anchorId="4C275466" wp14:editId="01B00BFB">
            <wp:extent cx="1859280" cy="952500"/>
            <wp:effectExtent l="0" t="0" r="0" b="0"/>
            <wp:docPr id="1" name="logo" descr="B&amp;W Consultants and BH Technology combined logo" title="B&amp;W BH 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859280" cy="952500"/>
                    </a:xfrm>
                    <a:prstGeom prst="rect">
                      <a:avLst/>
                    </a:prstGeom>
                  </pic:spPr>
                </pic:pic>
              </a:graphicData>
            </a:graphic>
          </wp:inline>
        </w:drawing>
      </w:r>
    </w:p>
    <w:p w14:paraId="74A66F29" w14:textId="77777777" w:rsidR="00065694" w:rsidRDefault="00065694">
      <w:pPr>
        <w:spacing w:after="400"/>
      </w:pPr>
    </w:p>
    <w:p w14:paraId="30037ADF" w14:textId="77777777" w:rsidR="00065694" w:rsidRDefault="00000000">
      <w:pPr>
        <w:jc w:val="center"/>
      </w:pPr>
      <w:r>
        <w:rPr>
          <w:b/>
          <w:bCs/>
          <w:color w:val="1A3461"/>
          <w:sz w:val="52"/>
          <w:szCs w:val="52"/>
        </w:rPr>
        <w:t>AMBULATORY DETOX</w:t>
      </w:r>
    </w:p>
    <w:p w14:paraId="108D83F9" w14:textId="77777777" w:rsidR="00065694" w:rsidRDefault="00000000">
      <w:pPr>
        <w:jc w:val="center"/>
      </w:pPr>
      <w:r>
        <w:rPr>
          <w:b/>
          <w:bCs/>
          <w:color w:val="1A3461"/>
          <w:sz w:val="52"/>
          <w:szCs w:val="52"/>
        </w:rPr>
        <w:t>AS A REVENUE-POSITIVE SERVICE LINE</w:t>
      </w:r>
    </w:p>
    <w:p w14:paraId="200C9B76" w14:textId="77777777" w:rsidR="00065694" w:rsidRDefault="00065694">
      <w:pPr>
        <w:spacing w:after="12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065694" w14:paraId="155A8AC4" w14:textId="77777777">
        <w:tblPrEx>
          <w:tblCellMar>
            <w:top w:w="0" w:type="dxa"/>
            <w:bottom w:w="0" w:type="dxa"/>
          </w:tblCellMar>
        </w:tblPrEx>
        <w:tc>
          <w:tcPr>
            <w:tcW w:w="9360" w:type="dxa"/>
            <w:tcBorders>
              <w:bottom w:val="single" w:sz="6" w:space="0" w:color="C4A74E"/>
            </w:tcBorders>
          </w:tcPr>
          <w:p w14:paraId="1EB4B398" w14:textId="77777777" w:rsidR="00065694" w:rsidRDefault="00065694"/>
        </w:tc>
      </w:tr>
    </w:tbl>
    <w:p w14:paraId="4D8A2BB0" w14:textId="77777777" w:rsidR="00065694" w:rsidRDefault="00065694">
      <w:pPr>
        <w:spacing w:after="120"/>
      </w:pPr>
    </w:p>
    <w:p w14:paraId="48BAD867" w14:textId="77777777" w:rsidR="00065694" w:rsidRDefault="00000000">
      <w:pPr>
        <w:spacing w:after="200"/>
        <w:jc w:val="center"/>
      </w:pPr>
      <w:r>
        <w:rPr>
          <w:i/>
          <w:iCs/>
          <w:color w:val="C4A74E"/>
          <w:sz w:val="30"/>
          <w:szCs w:val="30"/>
        </w:rPr>
        <w:t>How Treatment Centers Add $38K–$127K per Month</w:t>
      </w:r>
    </w:p>
    <w:p w14:paraId="430CBC9D" w14:textId="77777777" w:rsidR="00065694" w:rsidRDefault="00000000">
      <w:pPr>
        <w:spacing w:after="80"/>
        <w:jc w:val="center"/>
      </w:pPr>
      <w:r>
        <w:rPr>
          <w:color w:val="666666"/>
          <w:sz w:val="26"/>
          <w:szCs w:val="26"/>
        </w:rPr>
        <w:t>Without New Marketing, Without New Patients,</w:t>
      </w:r>
    </w:p>
    <w:p w14:paraId="5AAC9AAA" w14:textId="77777777" w:rsidR="00065694" w:rsidRDefault="00000000">
      <w:pPr>
        <w:spacing w:after="80"/>
        <w:jc w:val="center"/>
      </w:pPr>
      <w:r>
        <w:rPr>
          <w:color w:val="666666"/>
          <w:sz w:val="26"/>
          <w:szCs w:val="26"/>
        </w:rPr>
        <w:t>Without $250K in Equipment</w:t>
      </w:r>
    </w:p>
    <w:p w14:paraId="2AB65E7A" w14:textId="77777777" w:rsidR="00065694" w:rsidRDefault="00065694">
      <w:pPr>
        <w:spacing w:after="300"/>
      </w:pPr>
    </w:p>
    <w:p w14:paraId="31532552" w14:textId="77777777" w:rsidR="00065694" w:rsidRDefault="00000000">
      <w:pPr>
        <w:spacing w:after="80"/>
        <w:jc w:val="center"/>
      </w:pPr>
      <w:r>
        <w:rPr>
          <w:color w:val="333333"/>
        </w:rPr>
        <w:t>A Practical Guide to Building an ASAM-Aligned, AI-Supported</w:t>
      </w:r>
    </w:p>
    <w:p w14:paraId="5DCB7AB4" w14:textId="77777777" w:rsidR="00065694" w:rsidRDefault="00000000">
      <w:pPr>
        <w:spacing w:after="80"/>
        <w:jc w:val="center"/>
      </w:pPr>
      <w:r>
        <w:rPr>
          <w:color w:val="333333"/>
        </w:rPr>
        <w:t>Ambulatory Detox Line Using Patients You Already See</w:t>
      </w:r>
    </w:p>
    <w:p w14:paraId="622F22E8" w14:textId="77777777" w:rsidR="00065694" w:rsidRDefault="00065694">
      <w:pPr>
        <w:spacing w:after="400"/>
      </w:pPr>
    </w:p>
    <w:p w14:paraId="455AFE1D" w14:textId="77777777" w:rsidR="00065694" w:rsidRDefault="00000000">
      <w:pPr>
        <w:spacing w:after="60"/>
        <w:jc w:val="center"/>
      </w:pPr>
      <w:r>
        <w:rPr>
          <w:color w:val="666666"/>
          <w:sz w:val="20"/>
          <w:szCs w:val="20"/>
        </w:rPr>
        <w:t xml:space="preserve">Mike </w:t>
      </w:r>
      <w:proofErr w:type="gramStart"/>
      <w:r>
        <w:rPr>
          <w:color w:val="666666"/>
          <w:sz w:val="20"/>
          <w:szCs w:val="20"/>
        </w:rPr>
        <w:t>Webb  |</w:t>
      </w:r>
      <w:proofErr w:type="gramEnd"/>
      <w:r>
        <w:rPr>
          <w:color w:val="666666"/>
          <w:sz w:val="20"/>
          <w:szCs w:val="20"/>
        </w:rPr>
        <w:t xml:space="preserve">  B&amp;W Consultants</w:t>
      </w:r>
    </w:p>
    <w:p w14:paraId="4ED38496" w14:textId="77777777" w:rsidR="00065694" w:rsidRDefault="00000000">
      <w:pPr>
        <w:spacing w:after="60"/>
        <w:jc w:val="center"/>
      </w:pPr>
      <w:r>
        <w:rPr>
          <w:color w:val="666666"/>
          <w:sz w:val="20"/>
          <w:szCs w:val="20"/>
        </w:rPr>
        <w:t xml:space="preserve">Robert </w:t>
      </w:r>
      <w:proofErr w:type="gramStart"/>
      <w:r>
        <w:rPr>
          <w:color w:val="666666"/>
          <w:sz w:val="20"/>
          <w:szCs w:val="20"/>
        </w:rPr>
        <w:t>Randall  |</w:t>
      </w:r>
      <w:proofErr w:type="gramEnd"/>
      <w:r>
        <w:rPr>
          <w:color w:val="666666"/>
          <w:sz w:val="20"/>
          <w:szCs w:val="20"/>
        </w:rPr>
        <w:t xml:space="preserve">  BH Technology</w:t>
      </w:r>
    </w:p>
    <w:p w14:paraId="23925778" w14:textId="77777777" w:rsidR="00065694" w:rsidRDefault="00000000">
      <w:pPr>
        <w:spacing w:after="60"/>
        <w:jc w:val="center"/>
      </w:pPr>
      <w:proofErr w:type="gramStart"/>
      <w:r>
        <w:rPr>
          <w:color w:val="666666"/>
          <w:sz w:val="20"/>
          <w:szCs w:val="20"/>
        </w:rPr>
        <w:t>2026  |</w:t>
      </w:r>
      <w:proofErr w:type="gramEnd"/>
      <w:r>
        <w:rPr>
          <w:color w:val="666666"/>
          <w:sz w:val="20"/>
          <w:szCs w:val="20"/>
        </w:rPr>
        <w:t xml:space="preserve">  Confidential</w:t>
      </w:r>
    </w:p>
    <w:p w14:paraId="40325C6D" w14:textId="77777777" w:rsidR="00065694" w:rsidRDefault="00065694">
      <w:pPr>
        <w:sectPr w:rsidR="00065694">
          <w:pgSz w:w="11906" w:h="16838"/>
          <w:pgMar w:top="1440" w:right="1440" w:bottom="1440" w:left="1440" w:header="708" w:footer="708" w:gutter="0"/>
          <w:cols w:space="720"/>
          <w:docGrid w:linePitch="360"/>
        </w:sectPr>
      </w:pPr>
    </w:p>
    <w:p w14:paraId="6710A686" w14:textId="77777777" w:rsidR="00065694" w:rsidRDefault="00000000">
      <w:pPr>
        <w:pStyle w:val="Heading1"/>
      </w:pPr>
      <w:r>
        <w:lastRenderedPageBreak/>
        <w:t>EXECUTIVE SUMMARY</w:t>
      </w:r>
    </w:p>
    <w:p w14:paraId="04D15639" w14:textId="77777777" w:rsidR="00065694" w:rsidRDefault="00000000">
      <w:pPr>
        <w:spacing w:after="160"/>
      </w:pPr>
      <w:r>
        <w:rPr>
          <w:color w:val="333333"/>
        </w:rPr>
        <w:t>If your treatment center or clinic sees detox-eligible patients and sends them somewhere else for detox, you are almost certainly losing patients, revenue, and downstream treatment episodes you have already paid to acquire.</w:t>
      </w:r>
    </w:p>
    <w:p w14:paraId="6DE57FA1" w14:textId="77777777" w:rsidR="00065694" w:rsidRDefault="00065694">
      <w:pPr>
        <w:spacing w:after="40"/>
      </w:pPr>
    </w:p>
    <w:p w14:paraId="185E22CD" w14:textId="77777777" w:rsidR="00065694" w:rsidRDefault="00000000">
      <w:pPr>
        <w:pStyle w:val="ListParagraph"/>
        <w:numPr>
          <w:ilvl w:val="0"/>
          <w:numId w:val="2"/>
        </w:numPr>
        <w:spacing w:after="80"/>
      </w:pPr>
      <w:r>
        <w:rPr>
          <w:b/>
          <w:bCs/>
          <w:color w:val="333333"/>
        </w:rPr>
        <w:t xml:space="preserve">The problem: </w:t>
      </w:r>
      <w:r>
        <w:rPr>
          <w:color w:val="333333"/>
        </w:rPr>
        <w:t>77% of patients sent to outside detox never return to the referring facility. Each lost patient costs up to $30,000 in marketing and lost downstream revenue.</w:t>
      </w:r>
    </w:p>
    <w:p w14:paraId="6E69C7BF" w14:textId="77777777" w:rsidR="00065694" w:rsidRDefault="00000000">
      <w:pPr>
        <w:pStyle w:val="ListParagraph"/>
        <w:numPr>
          <w:ilvl w:val="0"/>
          <w:numId w:val="2"/>
        </w:numPr>
        <w:spacing w:after="80"/>
      </w:pPr>
      <w:r>
        <w:rPr>
          <w:b/>
          <w:bCs/>
          <w:color w:val="333333"/>
        </w:rPr>
        <w:t xml:space="preserve">The opportunity: </w:t>
      </w:r>
      <w:r>
        <w:rPr>
          <w:color w:val="333333"/>
        </w:rPr>
        <w:t>An in-house ambulatory detox line, built on a conservative $425/day baseline, generates $38,000–$127,000+ per month from patients you already see — before add-on residential, IOP, or PHP revenue.</w:t>
      </w:r>
    </w:p>
    <w:p w14:paraId="6B20C9D8" w14:textId="77777777" w:rsidR="00065694" w:rsidRDefault="00000000">
      <w:pPr>
        <w:pStyle w:val="ListParagraph"/>
        <w:numPr>
          <w:ilvl w:val="0"/>
          <w:numId w:val="2"/>
        </w:numPr>
        <w:spacing w:after="80"/>
      </w:pPr>
      <w:r>
        <w:rPr>
          <w:b/>
          <w:bCs/>
          <w:color w:val="333333"/>
        </w:rPr>
        <w:t xml:space="preserve">The blocker: </w:t>
      </w:r>
      <w:r>
        <w:rPr>
          <w:color w:val="333333"/>
        </w:rPr>
        <w:t>Operational and billing complexity stops 20–25% of interested centers from ever launching. They want to do it. They can afford it. They get overwhelmed by the systems required to track, bill, and stay compliant.</w:t>
      </w:r>
    </w:p>
    <w:p w14:paraId="63EC4D31" w14:textId="77777777" w:rsidR="00065694" w:rsidRDefault="00000000">
      <w:pPr>
        <w:pStyle w:val="ListParagraph"/>
        <w:numPr>
          <w:ilvl w:val="0"/>
          <w:numId w:val="2"/>
        </w:numPr>
        <w:spacing w:after="80"/>
      </w:pPr>
      <w:r>
        <w:rPr>
          <w:b/>
          <w:bCs/>
          <w:color w:val="333333"/>
        </w:rPr>
        <w:t xml:space="preserve">The solution: </w:t>
      </w:r>
      <w:r>
        <w:rPr>
          <w:color w:val="333333"/>
        </w:rPr>
        <w:t>An ASAM-aligned ambulatory detox protocol paired with an AI-backed training, reporting, and monitoring platform that removes the operational burden and makes the program sustainable from day one.</w:t>
      </w:r>
    </w:p>
    <w:p w14:paraId="7B5A3607" w14:textId="77777777" w:rsidR="00065694" w:rsidRDefault="00000000">
      <w:pPr>
        <w:pStyle w:val="ListParagraph"/>
        <w:numPr>
          <w:ilvl w:val="0"/>
          <w:numId w:val="2"/>
        </w:numPr>
        <w:spacing w:after="80"/>
      </w:pPr>
      <w:r>
        <w:rPr>
          <w:b/>
          <w:bCs/>
          <w:color w:val="333333"/>
        </w:rPr>
        <w:t xml:space="preserve">The next step: </w:t>
      </w:r>
      <w:r>
        <w:rPr>
          <w:color w:val="333333"/>
        </w:rPr>
        <w:t>An Ambulatory Detox Growth Map Session — 45 minutes to build a custom 12-month projection using your census, check feasibility, and get a clear yes or no.</w:t>
      </w:r>
    </w:p>
    <w:p w14:paraId="4ED79398" w14:textId="77777777" w:rsidR="00065694" w:rsidRDefault="00065694">
      <w:pPr>
        <w:spacing w:after="12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200" w:type="dxa"/>
          <w:bottom w:w="120" w:type="dxa"/>
          <w:right w:w="200" w:type="dxa"/>
        </w:tblCellMar>
        <w:tblLook w:val="04A0" w:firstRow="1" w:lastRow="0" w:firstColumn="1" w:lastColumn="0" w:noHBand="0" w:noVBand="1"/>
      </w:tblPr>
      <w:tblGrid>
        <w:gridCol w:w="9013"/>
      </w:tblGrid>
      <w:tr w:rsidR="00065694" w14:paraId="7311186B" w14:textId="77777777">
        <w:tc>
          <w:tcPr>
            <w:tcW w:w="9360" w:type="dxa"/>
            <w:tcBorders>
              <w:top w:val="single" w:sz="2" w:space="0" w:color="C4A74E"/>
              <w:left w:val="single" w:sz="8" w:space="0" w:color="C4A74E"/>
              <w:bottom w:val="single" w:sz="2" w:space="0" w:color="C4A74E"/>
              <w:right w:val="single" w:sz="2" w:space="0" w:color="C4A74E"/>
            </w:tcBorders>
            <w:shd w:val="clear" w:color="auto" w:fill="F7F4EE"/>
          </w:tcPr>
          <w:p w14:paraId="3F45FB2C" w14:textId="77777777" w:rsidR="00065694" w:rsidRDefault="00000000">
            <w:pPr>
              <w:spacing w:after="80"/>
            </w:pPr>
            <w:r>
              <w:rPr>
                <w:b/>
                <w:bCs/>
                <w:color w:val="1A3461"/>
                <w:sz w:val="24"/>
                <w:szCs w:val="24"/>
              </w:rPr>
              <w:t>REQUEST YOUR AMBULATORY DETOX GROWTH MAP SESSION</w:t>
            </w:r>
          </w:p>
          <w:p w14:paraId="7AC18F5D" w14:textId="77777777" w:rsidR="00065694" w:rsidRDefault="00000000">
            <w:pPr>
              <w:spacing w:after="80"/>
            </w:pPr>
            <w:r>
              <w:rPr>
                <w:color w:val="1A3461"/>
              </w:rPr>
              <w:t xml:space="preserve">In 45 minutes, we plug your real numbers into the model and tell you whether it </w:t>
            </w:r>
            <w:proofErr w:type="gramStart"/>
            <w:r>
              <w:rPr>
                <w:color w:val="1A3461"/>
              </w:rPr>
              <w:t>pencils</w:t>
            </w:r>
            <w:proofErr w:type="gramEnd"/>
            <w:r>
              <w:rPr>
                <w:color w:val="1A3461"/>
              </w:rPr>
              <w:t xml:space="preserve"> out.</w:t>
            </w:r>
          </w:p>
          <w:p w14:paraId="6EA5CE74" w14:textId="77777777" w:rsidR="00065694" w:rsidRDefault="00000000">
            <w:pPr>
              <w:spacing w:after="80"/>
            </w:pPr>
            <w:r>
              <w:rPr>
                <w:i/>
                <w:iCs/>
                <w:color w:val="1A3461"/>
              </w:rPr>
              <w:t>If it doesn’t, we’ll tell you in the first 15 minutes and end the call.</w:t>
            </w:r>
          </w:p>
          <w:p w14:paraId="4F40BC45" w14:textId="77777777" w:rsidR="00A83863" w:rsidRPr="00A83863" w:rsidRDefault="00A83863" w:rsidP="00A83863">
            <w:pPr>
              <w:spacing w:after="40"/>
              <w:jc w:val="center"/>
              <w:rPr>
                <w:color w:val="153D63" w:themeColor="text2" w:themeTint="E6"/>
              </w:rPr>
            </w:pPr>
            <w:r w:rsidRPr="00A83863">
              <w:rPr>
                <w:color w:val="153D63" w:themeColor="text2" w:themeTint="E6"/>
                <w:sz w:val="20"/>
                <w:szCs w:val="20"/>
              </w:rPr>
              <w:t xml:space="preserve">Mike </w:t>
            </w:r>
            <w:proofErr w:type="gramStart"/>
            <w:r w:rsidRPr="00A83863">
              <w:rPr>
                <w:color w:val="153D63" w:themeColor="text2" w:themeTint="E6"/>
                <w:sz w:val="20"/>
                <w:szCs w:val="20"/>
              </w:rPr>
              <w:t>Webb  |</w:t>
            </w:r>
            <w:proofErr w:type="gramEnd"/>
            <w:r w:rsidRPr="00A83863">
              <w:rPr>
                <w:color w:val="153D63" w:themeColor="text2" w:themeTint="E6"/>
                <w:sz w:val="20"/>
                <w:szCs w:val="20"/>
              </w:rPr>
              <w:t xml:space="preserve">  B&amp;W </w:t>
            </w:r>
            <w:proofErr w:type="gramStart"/>
            <w:r w:rsidRPr="00A83863">
              <w:rPr>
                <w:color w:val="153D63" w:themeColor="text2" w:themeTint="E6"/>
                <w:sz w:val="20"/>
                <w:szCs w:val="20"/>
              </w:rPr>
              <w:t>Consultants  |</w:t>
            </w:r>
            <w:proofErr w:type="gramEnd"/>
            <w:r w:rsidRPr="00A83863">
              <w:rPr>
                <w:color w:val="153D63" w:themeColor="text2" w:themeTint="E6"/>
                <w:sz w:val="20"/>
                <w:szCs w:val="20"/>
              </w:rPr>
              <w:t xml:space="preserve">  801-679-9266</w:t>
            </w:r>
          </w:p>
          <w:p w14:paraId="01838873" w14:textId="77777777" w:rsidR="00A83863" w:rsidRPr="00A83863" w:rsidRDefault="00A83863" w:rsidP="00A83863">
            <w:pPr>
              <w:spacing w:after="40"/>
              <w:jc w:val="center"/>
              <w:rPr>
                <w:color w:val="153D63" w:themeColor="text2" w:themeTint="E6"/>
              </w:rPr>
            </w:pPr>
            <w:r w:rsidRPr="00A83863">
              <w:rPr>
                <w:color w:val="153D63" w:themeColor="text2" w:themeTint="E6"/>
                <w:sz w:val="20"/>
                <w:szCs w:val="20"/>
              </w:rPr>
              <w:t xml:space="preserve">Robert </w:t>
            </w:r>
            <w:proofErr w:type="gramStart"/>
            <w:r w:rsidRPr="00A83863">
              <w:rPr>
                <w:color w:val="153D63" w:themeColor="text2" w:themeTint="E6"/>
                <w:sz w:val="20"/>
                <w:szCs w:val="20"/>
              </w:rPr>
              <w:t>Randall  |</w:t>
            </w:r>
            <w:proofErr w:type="gramEnd"/>
            <w:r w:rsidRPr="00A83863">
              <w:rPr>
                <w:color w:val="153D63" w:themeColor="text2" w:themeTint="E6"/>
                <w:sz w:val="20"/>
                <w:szCs w:val="20"/>
              </w:rPr>
              <w:t xml:space="preserve">  BH </w:t>
            </w:r>
            <w:proofErr w:type="gramStart"/>
            <w:r w:rsidRPr="00A83863">
              <w:rPr>
                <w:color w:val="153D63" w:themeColor="text2" w:themeTint="E6"/>
                <w:sz w:val="20"/>
                <w:szCs w:val="20"/>
              </w:rPr>
              <w:t>Technology  |</w:t>
            </w:r>
            <w:proofErr w:type="gramEnd"/>
            <w:r w:rsidRPr="00A83863">
              <w:rPr>
                <w:color w:val="153D63" w:themeColor="text2" w:themeTint="E6"/>
                <w:sz w:val="20"/>
                <w:szCs w:val="20"/>
              </w:rPr>
              <w:t xml:space="preserve">  714-698-9919</w:t>
            </w:r>
          </w:p>
          <w:p w14:paraId="69EE3917" w14:textId="2E164E0A" w:rsidR="00065694" w:rsidRDefault="00A83863" w:rsidP="00A83863">
            <w:pPr>
              <w:spacing w:after="80"/>
              <w:jc w:val="center"/>
            </w:pPr>
            <w:r>
              <w:rPr>
                <w:b/>
                <w:bCs/>
                <w:color w:val="C4A74E"/>
              </w:rPr>
              <w:t>robert@bhtechnology.org</w:t>
            </w:r>
          </w:p>
        </w:tc>
      </w:tr>
    </w:tbl>
    <w:p w14:paraId="71E2C4BE" w14:textId="77777777" w:rsidR="00065694" w:rsidRDefault="00000000">
      <w:r>
        <w:br w:type="page"/>
      </w:r>
    </w:p>
    <w:p w14:paraId="23A2A13D" w14:textId="77777777" w:rsidR="00065694" w:rsidRDefault="00000000">
      <w:pPr>
        <w:pStyle w:val="Heading1"/>
      </w:pPr>
      <w:r>
        <w:lastRenderedPageBreak/>
        <w:t>WHY YOUR CURRENT DETOX PATH IS COSTING YOU</w:t>
      </w:r>
    </w:p>
    <w:p w14:paraId="31107083" w14:textId="77777777" w:rsidR="00065694" w:rsidRDefault="00000000">
      <w:pPr>
        <w:spacing w:after="160"/>
      </w:pPr>
      <w:r>
        <w:rPr>
          <w:color w:val="333333"/>
        </w:rPr>
        <w:t>Most treatment centers and clinics see detox-eligible patients every week. These patients walk in your front door, need detoxification before they can begin or continue treatment, and then get sent to a hospital or competing program for that detox.</w:t>
      </w:r>
    </w:p>
    <w:p w14:paraId="5EB912C7" w14:textId="77777777" w:rsidR="00065694" w:rsidRDefault="00000000">
      <w:pPr>
        <w:spacing w:after="160"/>
      </w:pPr>
      <w:r>
        <w:rPr>
          <w:color w:val="333333"/>
        </w:rPr>
        <w:t>Here is what happens next:</w:t>
      </w:r>
    </w:p>
    <w:p w14:paraId="7D12372D" w14:textId="77777777" w:rsidR="00065694" w:rsidRDefault="00065694">
      <w:pPr>
        <w:spacing w:after="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200" w:type="dxa"/>
          <w:bottom w:w="120" w:type="dxa"/>
          <w:right w:w="200" w:type="dxa"/>
        </w:tblCellMar>
        <w:tblLook w:val="04A0" w:firstRow="1" w:lastRow="0" w:firstColumn="1" w:lastColumn="0" w:noHBand="0" w:noVBand="1"/>
      </w:tblPr>
      <w:tblGrid>
        <w:gridCol w:w="9013"/>
      </w:tblGrid>
      <w:tr w:rsidR="00065694" w14:paraId="66053D1A" w14:textId="77777777">
        <w:tc>
          <w:tcPr>
            <w:tcW w:w="9360" w:type="dxa"/>
            <w:tcBorders>
              <w:top w:val="single" w:sz="2" w:space="0" w:color="C4A74E"/>
              <w:left w:val="single" w:sz="8" w:space="0" w:color="C4A74E"/>
              <w:bottom w:val="single" w:sz="2" w:space="0" w:color="C4A74E"/>
              <w:right w:val="single" w:sz="2" w:space="0" w:color="C4A74E"/>
            </w:tcBorders>
            <w:shd w:val="clear" w:color="auto" w:fill="F7F4EE"/>
          </w:tcPr>
          <w:p w14:paraId="3EDBC637" w14:textId="77777777" w:rsidR="00065694" w:rsidRDefault="00000000">
            <w:pPr>
              <w:spacing w:after="80"/>
            </w:pPr>
            <w:r>
              <w:rPr>
                <w:b/>
                <w:bCs/>
                <w:color w:val="1A3461"/>
                <w:sz w:val="24"/>
                <w:szCs w:val="24"/>
              </w:rPr>
              <w:t>77% of patients sent out for detox never return to your facility.</w:t>
            </w:r>
          </w:p>
          <w:p w14:paraId="104FF20B" w14:textId="77777777" w:rsidR="00065694" w:rsidRDefault="00000000">
            <w:pPr>
              <w:spacing w:after="80"/>
            </w:pPr>
            <w:r>
              <w:rPr>
                <w:color w:val="1A3461"/>
              </w:rPr>
              <w:t>They complete detox somewhere else, get connected to a different program, and never come back for the residential, IOP, or outpatient episodes you were counting on.</w:t>
            </w:r>
          </w:p>
        </w:tc>
      </w:tr>
    </w:tbl>
    <w:p w14:paraId="7205F59E" w14:textId="77777777" w:rsidR="00065694" w:rsidRDefault="00065694">
      <w:pPr>
        <w:spacing w:after="120"/>
      </w:pPr>
    </w:p>
    <w:p w14:paraId="69ACB32B" w14:textId="77777777" w:rsidR="00065694" w:rsidRDefault="00000000">
      <w:pPr>
        <w:pStyle w:val="Heading2"/>
      </w:pPr>
      <w:r>
        <w:t>The Financial Impact You May Not Be Tracking</w:t>
      </w:r>
    </w:p>
    <w:p w14:paraId="216273BB" w14:textId="77777777" w:rsidR="00065694" w:rsidRDefault="00000000">
      <w:pPr>
        <w:pStyle w:val="ListParagraph"/>
        <w:numPr>
          <w:ilvl w:val="0"/>
          <w:numId w:val="3"/>
        </w:numPr>
        <w:spacing w:after="80"/>
      </w:pPr>
      <w:r>
        <w:rPr>
          <w:b/>
          <w:bCs/>
          <w:color w:val="333333"/>
        </w:rPr>
        <w:t xml:space="preserve">$17,000–$21,000+ </w:t>
      </w:r>
      <w:r>
        <w:rPr>
          <w:color w:val="333333"/>
        </w:rPr>
        <w:t>in lost revenue per patient who doesn’t return for ongoing treatment (national average).</w:t>
      </w:r>
    </w:p>
    <w:p w14:paraId="58FE911E" w14:textId="77777777" w:rsidR="00065694" w:rsidRDefault="00000000">
      <w:pPr>
        <w:pStyle w:val="ListParagraph"/>
        <w:numPr>
          <w:ilvl w:val="0"/>
          <w:numId w:val="3"/>
        </w:numPr>
        <w:spacing w:after="80"/>
      </w:pPr>
      <w:r>
        <w:rPr>
          <w:b/>
          <w:bCs/>
          <w:color w:val="333333"/>
        </w:rPr>
        <w:t xml:space="preserve">Up to $30,000 </w:t>
      </w:r>
      <w:r>
        <w:rPr>
          <w:color w:val="333333"/>
        </w:rPr>
        <w:t>total cost to replace each lost patient through marketing and acquisition.</w:t>
      </w:r>
    </w:p>
    <w:p w14:paraId="391210FA" w14:textId="77777777" w:rsidR="00065694" w:rsidRDefault="00000000">
      <w:pPr>
        <w:pStyle w:val="ListParagraph"/>
        <w:numPr>
          <w:ilvl w:val="0"/>
          <w:numId w:val="3"/>
        </w:numPr>
        <w:spacing w:after="80"/>
      </w:pPr>
      <w:r>
        <w:rPr>
          <w:b/>
          <w:bCs/>
          <w:color w:val="333333"/>
        </w:rPr>
        <w:t xml:space="preserve">$63,000 per month </w:t>
      </w:r>
      <w:r>
        <w:rPr>
          <w:color w:val="333333"/>
        </w:rPr>
        <w:t>in estimated losses if you’re sending just 3 patients per month to outside detox.</w:t>
      </w:r>
    </w:p>
    <w:p w14:paraId="052221F0" w14:textId="77777777" w:rsidR="00065694" w:rsidRDefault="00065694">
      <w:pPr>
        <w:spacing w:after="80"/>
      </w:pPr>
    </w:p>
    <w:p w14:paraId="097CA2DF" w14:textId="77777777" w:rsidR="00065694" w:rsidRDefault="00000000">
      <w:pPr>
        <w:spacing w:after="160"/>
      </w:pPr>
      <w:r>
        <w:rPr>
          <w:color w:val="333333"/>
        </w:rPr>
        <w:t>Meanwhile, traditional medical detox — building an in-house inpatient unit — requires:</w:t>
      </w:r>
    </w:p>
    <w:p w14:paraId="0D80FEB6" w14:textId="77777777" w:rsidR="00065694" w:rsidRDefault="00000000">
      <w:pPr>
        <w:pStyle w:val="ListParagraph"/>
        <w:numPr>
          <w:ilvl w:val="0"/>
          <w:numId w:val="3"/>
        </w:numPr>
        <w:spacing w:after="80"/>
      </w:pPr>
      <w:r>
        <w:rPr>
          <w:color w:val="333333"/>
        </w:rPr>
        <w:t>$250,000–$500,000+ in setup (oxygen systems, crash carts, medical beds, 24/7 staffing)</w:t>
      </w:r>
    </w:p>
    <w:p w14:paraId="28B83A5A" w14:textId="77777777" w:rsidR="00065694" w:rsidRDefault="00000000">
      <w:pPr>
        <w:pStyle w:val="ListParagraph"/>
        <w:numPr>
          <w:ilvl w:val="0"/>
          <w:numId w:val="3"/>
        </w:numPr>
        <w:spacing w:after="80"/>
      </w:pPr>
      <w:r>
        <w:rPr>
          <w:color w:val="333333"/>
        </w:rPr>
        <w:t>$39,000–$82,000 per month in ongoing overhead</w:t>
      </w:r>
    </w:p>
    <w:p w14:paraId="3EA344F2" w14:textId="77777777" w:rsidR="00065694" w:rsidRDefault="00000000">
      <w:pPr>
        <w:pStyle w:val="ListParagraph"/>
        <w:numPr>
          <w:ilvl w:val="0"/>
          <w:numId w:val="3"/>
        </w:numPr>
        <w:spacing w:after="80"/>
      </w:pPr>
      <w:r>
        <w:rPr>
          <w:color w:val="333333"/>
        </w:rPr>
        <w:t>Break-even profitability at best, often a loss once state-mandated indigent patients are factored in</w:t>
      </w:r>
    </w:p>
    <w:p w14:paraId="1898BEE0" w14:textId="77777777" w:rsidR="00065694" w:rsidRDefault="00065694">
      <w:pPr>
        <w:spacing w:after="80"/>
      </w:pPr>
    </w:p>
    <w:p w14:paraId="36DF4B60" w14:textId="77777777" w:rsidR="00065694" w:rsidRDefault="00000000">
      <w:pPr>
        <w:spacing w:after="160"/>
      </w:pPr>
      <w:r>
        <w:rPr>
          <w:color w:val="333333"/>
        </w:rPr>
        <w:t xml:space="preserve">This creates a trap: you know you’re losing </w:t>
      </w:r>
      <w:proofErr w:type="spellStart"/>
      <w:proofErr w:type="gramStart"/>
      <w:r>
        <w:rPr>
          <w:color w:val="333333"/>
        </w:rPr>
        <w:t>patients</w:t>
      </w:r>
      <w:proofErr w:type="spellEnd"/>
      <w:proofErr w:type="gramEnd"/>
      <w:r>
        <w:rPr>
          <w:color w:val="333333"/>
        </w:rPr>
        <w:t xml:space="preserve"> and revenue by referring out, but the traditional alternative is too expensive and complex to justify. Ambulatory detox is the exit from that trap.</w:t>
      </w:r>
    </w:p>
    <w:p w14:paraId="2F5B7DF7" w14:textId="77777777" w:rsidR="00065694" w:rsidRDefault="00065694">
      <w:pPr>
        <w:spacing w:after="80"/>
      </w:pPr>
    </w:p>
    <w:p w14:paraId="63FC2945" w14:textId="77777777" w:rsidR="00065694" w:rsidRDefault="00000000">
      <w:pPr>
        <w:pStyle w:val="Heading2"/>
      </w:pPr>
      <w:r>
        <w:t>Where Detox Patients Go Today vs. Where They Could Go</w:t>
      </w:r>
    </w:p>
    <w:p w14:paraId="5BC83347" w14:textId="77777777" w:rsidR="00065694" w:rsidRDefault="00065694">
      <w:pPr>
        <w:spacing w:after="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40" w:type="dxa"/>
          <w:bottom w:w="80" w:type="dxa"/>
          <w:right w:w="140" w:type="dxa"/>
        </w:tblCellMar>
        <w:tblLook w:val="04A0" w:firstRow="1" w:lastRow="0" w:firstColumn="1" w:lastColumn="0" w:noHBand="0" w:noVBand="1"/>
      </w:tblPr>
      <w:tblGrid>
        <w:gridCol w:w="4491"/>
        <w:gridCol w:w="4533"/>
      </w:tblGrid>
      <w:tr w:rsidR="00065694" w14:paraId="6D45B89D" w14:textId="77777777">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A3461"/>
          </w:tcPr>
          <w:p w14:paraId="2A640442" w14:textId="77777777" w:rsidR="00065694" w:rsidRDefault="00000000">
            <w:pPr>
              <w:jc w:val="center"/>
            </w:pPr>
            <w:r>
              <w:rPr>
                <w:b/>
                <w:bCs/>
                <w:color w:val="FFFFFF"/>
                <w:sz w:val="20"/>
                <w:szCs w:val="20"/>
              </w:rPr>
              <w:t>CURRENT PATH</w:t>
            </w:r>
          </w:p>
        </w:tc>
        <w:tc>
          <w:tcPr>
            <w:tcW w:w="4680" w:type="dxa"/>
            <w:tcBorders>
              <w:top w:val="single" w:sz="1" w:space="0" w:color="CCCCCC"/>
              <w:left w:val="single" w:sz="1" w:space="0" w:color="CCCCCC"/>
              <w:bottom w:val="single" w:sz="1" w:space="0" w:color="CCCCCC"/>
              <w:right w:val="single" w:sz="1" w:space="0" w:color="CCCCCC"/>
            </w:tcBorders>
            <w:shd w:val="clear" w:color="auto" w:fill="C4A74E"/>
          </w:tcPr>
          <w:p w14:paraId="5A042D2B" w14:textId="77777777" w:rsidR="00065694" w:rsidRDefault="00000000">
            <w:pPr>
              <w:jc w:val="center"/>
            </w:pPr>
            <w:r>
              <w:rPr>
                <w:b/>
                <w:bCs/>
                <w:color w:val="FFFFFF"/>
                <w:sz w:val="20"/>
                <w:szCs w:val="20"/>
              </w:rPr>
              <w:t>AMBULATORY DETOX PATH</w:t>
            </w:r>
          </w:p>
        </w:tc>
      </w:tr>
      <w:tr w:rsidR="00065694" w14:paraId="6D7AC851" w14:textId="77777777">
        <w:tc>
          <w:tcPr>
            <w:tcW w:w="4680" w:type="dxa"/>
            <w:tcBorders>
              <w:top w:val="single" w:sz="1" w:space="0" w:color="CCCCCC"/>
              <w:left w:val="single" w:sz="1" w:space="0" w:color="CCCCCC"/>
              <w:bottom w:val="single" w:sz="1" w:space="0" w:color="CCCCCC"/>
              <w:right w:val="single" w:sz="1" w:space="0" w:color="CCCCCC"/>
            </w:tcBorders>
          </w:tcPr>
          <w:p w14:paraId="26C851C1" w14:textId="77777777" w:rsidR="00065694" w:rsidRDefault="00000000">
            <w:pPr>
              <w:spacing w:before="50" w:after="50"/>
            </w:pPr>
            <w:r>
              <w:rPr>
                <w:color w:val="333333"/>
                <w:sz w:val="20"/>
                <w:szCs w:val="20"/>
              </w:rPr>
              <w:t>Patient needs detox</w:t>
            </w:r>
          </w:p>
        </w:tc>
        <w:tc>
          <w:tcPr>
            <w:tcW w:w="4680" w:type="dxa"/>
            <w:tcBorders>
              <w:top w:val="single" w:sz="1" w:space="0" w:color="CCCCCC"/>
              <w:left w:val="single" w:sz="1" w:space="0" w:color="CCCCCC"/>
              <w:bottom w:val="single" w:sz="1" w:space="0" w:color="CCCCCC"/>
              <w:right w:val="single" w:sz="1" w:space="0" w:color="CCCCCC"/>
            </w:tcBorders>
          </w:tcPr>
          <w:p w14:paraId="6DF5102F" w14:textId="77777777" w:rsidR="00065694" w:rsidRDefault="00000000">
            <w:pPr>
              <w:spacing w:before="50" w:after="50"/>
            </w:pPr>
            <w:r>
              <w:rPr>
                <w:color w:val="333333"/>
                <w:sz w:val="20"/>
                <w:szCs w:val="20"/>
              </w:rPr>
              <w:t>Patient needs detox</w:t>
            </w:r>
          </w:p>
        </w:tc>
      </w:tr>
      <w:tr w:rsidR="00065694" w14:paraId="1E8C6C57" w14:textId="77777777">
        <w:tc>
          <w:tcPr>
            <w:tcW w:w="4680" w:type="dxa"/>
            <w:tcBorders>
              <w:top w:val="single" w:sz="1" w:space="0" w:color="CCCCCC"/>
              <w:left w:val="single" w:sz="1" w:space="0" w:color="CCCCCC"/>
              <w:bottom w:val="single" w:sz="1" w:space="0" w:color="CCCCCC"/>
              <w:right w:val="single" w:sz="1" w:space="0" w:color="CCCCCC"/>
            </w:tcBorders>
            <w:shd w:val="clear" w:color="auto" w:fill="FDF2F2"/>
          </w:tcPr>
          <w:p w14:paraId="1A63C556" w14:textId="77777777" w:rsidR="00065694" w:rsidRDefault="00000000">
            <w:pPr>
              <w:spacing w:before="50" w:after="50"/>
            </w:pPr>
            <w:r>
              <w:rPr>
                <w:color w:val="333333"/>
                <w:sz w:val="20"/>
                <w:szCs w:val="20"/>
              </w:rPr>
              <w:t>Sent to hospital or competing center</w:t>
            </w:r>
          </w:p>
        </w:tc>
        <w:tc>
          <w:tcPr>
            <w:tcW w:w="4680" w:type="dxa"/>
            <w:tcBorders>
              <w:top w:val="single" w:sz="1" w:space="0" w:color="CCCCCC"/>
              <w:left w:val="single" w:sz="1" w:space="0" w:color="CCCCCC"/>
              <w:bottom w:val="single" w:sz="1" w:space="0" w:color="CCCCCC"/>
              <w:right w:val="single" w:sz="1" w:space="0" w:color="CCCCCC"/>
            </w:tcBorders>
            <w:shd w:val="clear" w:color="auto" w:fill="F2F7F2"/>
          </w:tcPr>
          <w:p w14:paraId="00963C1A" w14:textId="77777777" w:rsidR="00065694" w:rsidRDefault="00000000">
            <w:pPr>
              <w:spacing w:before="50" w:after="50"/>
            </w:pPr>
            <w:proofErr w:type="gramStart"/>
            <w:r>
              <w:rPr>
                <w:color w:val="333333"/>
                <w:sz w:val="20"/>
                <w:szCs w:val="20"/>
              </w:rPr>
              <w:t>Enters</w:t>
            </w:r>
            <w:proofErr w:type="gramEnd"/>
            <w:r>
              <w:rPr>
                <w:color w:val="333333"/>
                <w:sz w:val="20"/>
                <w:szCs w:val="20"/>
              </w:rPr>
              <w:t xml:space="preserve"> your in-house ambulatory detox</w:t>
            </w:r>
          </w:p>
        </w:tc>
      </w:tr>
      <w:tr w:rsidR="00065694" w14:paraId="2483D46F" w14:textId="77777777">
        <w:tc>
          <w:tcPr>
            <w:tcW w:w="4680" w:type="dxa"/>
            <w:tcBorders>
              <w:top w:val="single" w:sz="1" w:space="0" w:color="CCCCCC"/>
              <w:left w:val="single" w:sz="1" w:space="0" w:color="CCCCCC"/>
              <w:bottom w:val="single" w:sz="1" w:space="0" w:color="CCCCCC"/>
              <w:right w:val="single" w:sz="1" w:space="0" w:color="CCCCCC"/>
            </w:tcBorders>
          </w:tcPr>
          <w:p w14:paraId="0C25169C" w14:textId="77777777" w:rsidR="00065694" w:rsidRDefault="00000000">
            <w:pPr>
              <w:spacing w:before="50" w:after="50"/>
            </w:pPr>
            <w:r>
              <w:rPr>
                <w:color w:val="333333"/>
                <w:sz w:val="20"/>
                <w:szCs w:val="20"/>
              </w:rPr>
              <w:t>5-day inpatient stay, secondary withdrawal unresolved</w:t>
            </w:r>
          </w:p>
        </w:tc>
        <w:tc>
          <w:tcPr>
            <w:tcW w:w="4680" w:type="dxa"/>
            <w:tcBorders>
              <w:top w:val="single" w:sz="1" w:space="0" w:color="CCCCCC"/>
              <w:left w:val="single" w:sz="1" w:space="0" w:color="CCCCCC"/>
              <w:bottom w:val="single" w:sz="1" w:space="0" w:color="CCCCCC"/>
              <w:right w:val="single" w:sz="1" w:space="0" w:color="CCCCCC"/>
            </w:tcBorders>
          </w:tcPr>
          <w:p w14:paraId="05E104DA" w14:textId="77777777" w:rsidR="00065694" w:rsidRDefault="00000000">
            <w:pPr>
              <w:spacing w:before="50" w:after="50"/>
            </w:pPr>
            <w:r>
              <w:rPr>
                <w:color w:val="333333"/>
                <w:sz w:val="20"/>
                <w:szCs w:val="20"/>
              </w:rPr>
              <w:t>20–</w:t>
            </w:r>
            <w:proofErr w:type="gramStart"/>
            <w:r>
              <w:rPr>
                <w:color w:val="333333"/>
                <w:sz w:val="20"/>
                <w:szCs w:val="20"/>
              </w:rPr>
              <w:t>30 day</w:t>
            </w:r>
            <w:proofErr w:type="gramEnd"/>
            <w:r>
              <w:rPr>
                <w:color w:val="333333"/>
                <w:sz w:val="20"/>
                <w:szCs w:val="20"/>
              </w:rPr>
              <w:t xml:space="preserve"> structured protocol, full withdrawal cycle</w:t>
            </w:r>
          </w:p>
        </w:tc>
      </w:tr>
      <w:tr w:rsidR="00065694" w14:paraId="4A9C15D6" w14:textId="77777777">
        <w:tc>
          <w:tcPr>
            <w:tcW w:w="4680" w:type="dxa"/>
            <w:tcBorders>
              <w:top w:val="single" w:sz="1" w:space="0" w:color="CCCCCC"/>
              <w:left w:val="single" w:sz="1" w:space="0" w:color="CCCCCC"/>
              <w:bottom w:val="single" w:sz="1" w:space="0" w:color="CCCCCC"/>
              <w:right w:val="single" w:sz="1" w:space="0" w:color="CCCCCC"/>
            </w:tcBorders>
            <w:shd w:val="clear" w:color="auto" w:fill="FDF2F2"/>
          </w:tcPr>
          <w:p w14:paraId="70796F1D" w14:textId="77777777" w:rsidR="00065694" w:rsidRDefault="00000000">
            <w:pPr>
              <w:spacing w:before="50" w:after="50"/>
            </w:pPr>
            <w:r>
              <w:rPr>
                <w:color w:val="333333"/>
                <w:sz w:val="20"/>
                <w:szCs w:val="20"/>
              </w:rPr>
              <w:t>Discharged in crisis — 77% never return</w:t>
            </w:r>
          </w:p>
        </w:tc>
        <w:tc>
          <w:tcPr>
            <w:tcW w:w="4680" w:type="dxa"/>
            <w:tcBorders>
              <w:top w:val="single" w:sz="1" w:space="0" w:color="CCCCCC"/>
              <w:left w:val="single" w:sz="1" w:space="0" w:color="CCCCCC"/>
              <w:bottom w:val="single" w:sz="1" w:space="0" w:color="CCCCCC"/>
              <w:right w:val="single" w:sz="1" w:space="0" w:color="CCCCCC"/>
            </w:tcBorders>
            <w:shd w:val="clear" w:color="auto" w:fill="F2F7F2"/>
          </w:tcPr>
          <w:p w14:paraId="7DA8AA59" w14:textId="77777777" w:rsidR="00065694" w:rsidRDefault="00000000">
            <w:pPr>
              <w:spacing w:before="50" w:after="50"/>
            </w:pPr>
            <w:r>
              <w:rPr>
                <w:color w:val="333333"/>
                <w:sz w:val="20"/>
                <w:szCs w:val="20"/>
              </w:rPr>
              <w:t>Daily check-ins, stays connected to your team</w:t>
            </w:r>
          </w:p>
        </w:tc>
      </w:tr>
      <w:tr w:rsidR="00065694" w14:paraId="5ADAE0DE" w14:textId="77777777">
        <w:tc>
          <w:tcPr>
            <w:tcW w:w="4680" w:type="dxa"/>
            <w:tcBorders>
              <w:top w:val="single" w:sz="1" w:space="0" w:color="CCCCCC"/>
              <w:left w:val="single" w:sz="1" w:space="0" w:color="CCCCCC"/>
              <w:bottom w:val="single" w:sz="1" w:space="0" w:color="CCCCCC"/>
              <w:right w:val="single" w:sz="1" w:space="0" w:color="CCCCCC"/>
            </w:tcBorders>
          </w:tcPr>
          <w:p w14:paraId="60FE962C" w14:textId="77777777" w:rsidR="00065694" w:rsidRDefault="00000000">
            <w:pPr>
              <w:spacing w:before="50" w:after="50"/>
            </w:pPr>
            <w:r>
              <w:rPr>
                <w:color w:val="333333"/>
                <w:sz w:val="20"/>
                <w:szCs w:val="20"/>
              </w:rPr>
              <w:lastRenderedPageBreak/>
              <w:t>You lose $17K–21K+ per patient</w:t>
            </w:r>
          </w:p>
        </w:tc>
        <w:tc>
          <w:tcPr>
            <w:tcW w:w="4680" w:type="dxa"/>
            <w:tcBorders>
              <w:top w:val="single" w:sz="1" w:space="0" w:color="CCCCCC"/>
              <w:left w:val="single" w:sz="1" w:space="0" w:color="CCCCCC"/>
              <w:bottom w:val="single" w:sz="1" w:space="0" w:color="CCCCCC"/>
              <w:right w:val="single" w:sz="1" w:space="0" w:color="CCCCCC"/>
            </w:tcBorders>
          </w:tcPr>
          <w:p w14:paraId="21D3F140" w14:textId="77777777" w:rsidR="00065694" w:rsidRDefault="00000000">
            <w:pPr>
              <w:spacing w:before="50" w:after="50"/>
            </w:pPr>
            <w:r>
              <w:rPr>
                <w:color w:val="333333"/>
                <w:sz w:val="20"/>
                <w:szCs w:val="20"/>
              </w:rPr>
              <w:t>Seamless transition into your residential/IOP/PHP</w:t>
            </w:r>
          </w:p>
        </w:tc>
      </w:tr>
      <w:tr w:rsidR="00065694" w14:paraId="2DA8FAF9" w14:textId="77777777">
        <w:tc>
          <w:tcPr>
            <w:tcW w:w="4680" w:type="dxa"/>
            <w:tcBorders>
              <w:top w:val="single" w:sz="1" w:space="0" w:color="CCCCCC"/>
              <w:left w:val="single" w:sz="1" w:space="0" w:color="CCCCCC"/>
              <w:bottom w:val="single" w:sz="1" w:space="0" w:color="CCCCCC"/>
              <w:right w:val="single" w:sz="1" w:space="0" w:color="CCCCCC"/>
            </w:tcBorders>
            <w:shd w:val="clear" w:color="auto" w:fill="FDF2F2"/>
          </w:tcPr>
          <w:p w14:paraId="19F17C78" w14:textId="77777777" w:rsidR="00065694" w:rsidRDefault="00000000">
            <w:pPr>
              <w:spacing w:before="50" w:after="50"/>
            </w:pPr>
            <w:r>
              <w:rPr>
                <w:color w:val="333333"/>
                <w:sz w:val="20"/>
                <w:szCs w:val="20"/>
              </w:rPr>
              <w:t>You spend $30K replacing them</w:t>
            </w:r>
          </w:p>
        </w:tc>
        <w:tc>
          <w:tcPr>
            <w:tcW w:w="4680" w:type="dxa"/>
            <w:tcBorders>
              <w:top w:val="single" w:sz="1" w:space="0" w:color="CCCCCC"/>
              <w:left w:val="single" w:sz="1" w:space="0" w:color="CCCCCC"/>
              <w:bottom w:val="single" w:sz="1" w:space="0" w:color="CCCCCC"/>
              <w:right w:val="single" w:sz="1" w:space="0" w:color="CCCCCC"/>
            </w:tcBorders>
            <w:shd w:val="clear" w:color="auto" w:fill="F2F7F2"/>
          </w:tcPr>
          <w:p w14:paraId="6040B692" w14:textId="77777777" w:rsidR="00065694" w:rsidRDefault="00000000">
            <w:pPr>
              <w:spacing w:before="50" w:after="50"/>
            </w:pPr>
            <w:r>
              <w:rPr>
                <w:color w:val="333333"/>
                <w:sz w:val="20"/>
                <w:szCs w:val="20"/>
              </w:rPr>
              <w:t xml:space="preserve">You keep the </w:t>
            </w:r>
            <w:proofErr w:type="gramStart"/>
            <w:r>
              <w:rPr>
                <w:color w:val="333333"/>
                <w:sz w:val="20"/>
                <w:szCs w:val="20"/>
              </w:rPr>
              <w:t>patient</w:t>
            </w:r>
            <w:proofErr w:type="gramEnd"/>
            <w:r>
              <w:rPr>
                <w:color w:val="333333"/>
                <w:sz w:val="20"/>
                <w:szCs w:val="20"/>
              </w:rPr>
              <w:t xml:space="preserve"> and all downstream revenue</w:t>
            </w:r>
          </w:p>
        </w:tc>
      </w:tr>
    </w:tbl>
    <w:p w14:paraId="46B0E691" w14:textId="77777777" w:rsidR="00065694" w:rsidRDefault="00065694">
      <w:pPr>
        <w:spacing w:after="120"/>
      </w:pPr>
    </w:p>
    <w:p w14:paraId="0B8A26CA" w14:textId="77777777" w:rsidR="00065694" w:rsidRDefault="00000000">
      <w:pPr>
        <w:pStyle w:val="Heading2"/>
      </w:pPr>
      <w:r>
        <w:t>Why the Window Is Opening Now</w:t>
      </w:r>
    </w:p>
    <w:p w14:paraId="4DFECC41" w14:textId="77777777" w:rsidR="00065694" w:rsidRDefault="00000000">
      <w:pPr>
        <w:spacing w:after="160"/>
      </w:pPr>
      <w:r>
        <w:rPr>
          <w:color w:val="333333"/>
        </w:rPr>
        <w:t>Several market forces are converging that make ambulatory detox more urgent and more viable than it was even two years ago:</w:t>
      </w:r>
    </w:p>
    <w:p w14:paraId="42EEAE48" w14:textId="77777777" w:rsidR="00065694" w:rsidRDefault="00000000">
      <w:pPr>
        <w:pStyle w:val="ListParagraph"/>
        <w:numPr>
          <w:ilvl w:val="0"/>
          <w:numId w:val="3"/>
        </w:numPr>
        <w:spacing w:after="80"/>
      </w:pPr>
      <w:r>
        <w:rPr>
          <w:b/>
          <w:bCs/>
          <w:color w:val="333333"/>
        </w:rPr>
        <w:t xml:space="preserve">Hospitals are actively shutting down detox units. </w:t>
      </w:r>
      <w:r>
        <w:rPr>
          <w:color w:val="333333"/>
        </w:rPr>
        <w:t>Dual-diagnosis patients are too complex for med-surg nursing staff. The liability, the behavioral challenges, and the thin margins are causing hospital administrators to close inpatient detox beds. Every closed bed increases demand for ambulatory alternatives.</w:t>
      </w:r>
    </w:p>
    <w:p w14:paraId="59A0E3BC" w14:textId="77777777" w:rsidR="00065694" w:rsidRDefault="00000000">
      <w:pPr>
        <w:pStyle w:val="ListParagraph"/>
        <w:numPr>
          <w:ilvl w:val="0"/>
          <w:numId w:val="3"/>
        </w:numPr>
        <w:spacing w:after="80"/>
      </w:pPr>
      <w:r>
        <w:rPr>
          <w:b/>
          <w:bCs/>
          <w:color w:val="333333"/>
        </w:rPr>
        <w:t xml:space="preserve">IOP and day treatment </w:t>
      </w:r>
      <w:proofErr w:type="gramStart"/>
      <w:r>
        <w:rPr>
          <w:b/>
          <w:bCs/>
          <w:color w:val="333333"/>
        </w:rPr>
        <w:t>pricing</w:t>
      </w:r>
      <w:proofErr w:type="gramEnd"/>
      <w:r>
        <w:rPr>
          <w:b/>
          <w:bCs/>
          <w:color w:val="333333"/>
        </w:rPr>
        <w:t xml:space="preserve"> </w:t>
      </w:r>
      <w:proofErr w:type="gramStart"/>
      <w:r>
        <w:rPr>
          <w:b/>
          <w:bCs/>
          <w:color w:val="333333"/>
        </w:rPr>
        <w:t>is</w:t>
      </w:r>
      <w:proofErr w:type="gramEnd"/>
      <w:r>
        <w:rPr>
          <w:b/>
          <w:bCs/>
          <w:color w:val="333333"/>
        </w:rPr>
        <w:t xml:space="preserve"> dropping. </w:t>
      </w:r>
      <w:r>
        <w:rPr>
          <w:color w:val="333333"/>
        </w:rPr>
        <w:t>Medical-based products hold their value because they are billed at a separate, higher reimbursement level. Ambulatory detox is stable, growing revenue that is not subject to the same downward pressure.</w:t>
      </w:r>
    </w:p>
    <w:p w14:paraId="0C4D8C80" w14:textId="77777777" w:rsidR="00065694" w:rsidRDefault="00000000">
      <w:pPr>
        <w:pStyle w:val="ListParagraph"/>
        <w:numPr>
          <w:ilvl w:val="0"/>
          <w:numId w:val="3"/>
        </w:numPr>
        <w:spacing w:after="80"/>
      </w:pPr>
      <w:r>
        <w:rPr>
          <w:b/>
          <w:bCs/>
          <w:color w:val="333333"/>
        </w:rPr>
        <w:t xml:space="preserve">Ambulatory </w:t>
      </w:r>
      <w:proofErr w:type="gramStart"/>
      <w:r>
        <w:rPr>
          <w:b/>
          <w:bCs/>
          <w:color w:val="333333"/>
        </w:rPr>
        <w:t>detox attracts</w:t>
      </w:r>
      <w:proofErr w:type="gramEnd"/>
      <w:r>
        <w:rPr>
          <w:b/>
          <w:bCs/>
          <w:color w:val="333333"/>
        </w:rPr>
        <w:t xml:space="preserve"> a better patient population. </w:t>
      </w:r>
      <w:r>
        <w:rPr>
          <w:color w:val="333333"/>
        </w:rPr>
        <w:t>These are functioning people — they still work, they are still parents, they participate in everyday life. Probably less than 20% have comorbid mental health issues. This is not the complex, high-acuity population that creates operational nightmares in inpatient settings.</w:t>
      </w:r>
    </w:p>
    <w:p w14:paraId="1613BEE1" w14:textId="77777777" w:rsidR="00065694" w:rsidRDefault="00000000">
      <w:pPr>
        <w:pStyle w:val="ListParagraph"/>
        <w:numPr>
          <w:ilvl w:val="0"/>
          <w:numId w:val="3"/>
        </w:numPr>
        <w:spacing w:after="80"/>
      </w:pPr>
      <w:r>
        <w:rPr>
          <w:b/>
          <w:bCs/>
          <w:color w:val="333333"/>
        </w:rPr>
        <w:t xml:space="preserve">Demand is growing. </w:t>
      </w:r>
      <w:r>
        <w:rPr>
          <w:color w:val="333333"/>
        </w:rPr>
        <w:t>Substance use treatment needs are increasing nationally. Centers that build this capability now will be positioned to absorb volume as hospital detox capacity shrinks and referral patterns shift.</w:t>
      </w:r>
    </w:p>
    <w:p w14:paraId="0E8E6FF2" w14:textId="77777777" w:rsidR="00065694" w:rsidRDefault="00065694">
      <w:pPr>
        <w:spacing w:after="40"/>
      </w:pPr>
    </w:p>
    <w:p w14:paraId="09693EDB" w14:textId="77777777" w:rsidR="00065694" w:rsidRDefault="00000000">
      <w:pPr>
        <w:spacing w:after="160"/>
      </w:pPr>
      <w:r>
        <w:rPr>
          <w:color w:val="333333"/>
        </w:rPr>
        <w:t>The pattern is familiar: dentistry and veterinary clinics that failed to adopt modern technology and systems were acquired by larger, more efficient operators. The same consolidation is beginning in behavioral health. Programs with structured AI-backed infrastructure will be the acquirers, not the acquired.</w:t>
      </w:r>
    </w:p>
    <w:p w14:paraId="259D03EB" w14:textId="77777777" w:rsidR="00065694" w:rsidRDefault="00000000">
      <w:r>
        <w:br w:type="page"/>
      </w:r>
    </w:p>
    <w:p w14:paraId="13AC163B" w14:textId="77777777" w:rsidR="00065694" w:rsidRDefault="00000000">
      <w:pPr>
        <w:pStyle w:val="Heading1"/>
      </w:pPr>
      <w:r>
        <w:lastRenderedPageBreak/>
        <w:t>WHAT 3, 5, OR 10 PATIENTS A WEEK REALLY MEANS</w:t>
      </w:r>
    </w:p>
    <w:p w14:paraId="4BDD9054" w14:textId="77777777" w:rsidR="00065694" w:rsidRDefault="00000000">
      <w:pPr>
        <w:spacing w:after="160"/>
      </w:pPr>
      <w:r>
        <w:rPr>
          <w:color w:val="333333"/>
        </w:rPr>
        <w:t>All projections below use a conservative baseline of $425 per day per patient for ambulatory detox. This is not an aspirational number — it is what state programs pay in the Mountain West region. Private insurance and well-funded state programs typically reimburse $400–$850+ per day.</w:t>
      </w:r>
    </w:p>
    <w:p w14:paraId="0DF6B784" w14:textId="77777777" w:rsidR="00065694" w:rsidRDefault="00065694">
      <w:pPr>
        <w:spacing w:after="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20" w:type="dxa"/>
          <w:bottom w:w="60" w:type="dxa"/>
          <w:right w:w="120" w:type="dxa"/>
        </w:tblCellMar>
        <w:tblLook w:val="04A0" w:firstRow="1" w:lastRow="0" w:firstColumn="1" w:lastColumn="0" w:noHBand="0" w:noVBand="1"/>
      </w:tblPr>
      <w:tblGrid>
        <w:gridCol w:w="2285"/>
        <w:gridCol w:w="1667"/>
        <w:gridCol w:w="1678"/>
        <w:gridCol w:w="1689"/>
        <w:gridCol w:w="1705"/>
      </w:tblGrid>
      <w:tr w:rsidR="00065694" w14:paraId="197902B1" w14:textId="77777777">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A3461"/>
            <w:vAlign w:val="center"/>
          </w:tcPr>
          <w:p w14:paraId="4CEB03FE" w14:textId="77777777" w:rsidR="00065694" w:rsidRDefault="00000000">
            <w:pPr>
              <w:jc w:val="center"/>
            </w:pPr>
            <w:r>
              <w:rPr>
                <w:b/>
                <w:bCs/>
                <w:color w:val="FFFFFF"/>
              </w:rPr>
              <w:t>Patients / Week</w:t>
            </w:r>
          </w:p>
        </w:tc>
        <w:tc>
          <w:tcPr>
            <w:tcW w:w="1740" w:type="dxa"/>
            <w:tcBorders>
              <w:top w:val="single" w:sz="1" w:space="0" w:color="CCCCCC"/>
              <w:left w:val="single" w:sz="1" w:space="0" w:color="CCCCCC"/>
              <w:bottom w:val="single" w:sz="1" w:space="0" w:color="CCCCCC"/>
              <w:right w:val="single" w:sz="1" w:space="0" w:color="CCCCCC"/>
            </w:tcBorders>
            <w:shd w:val="clear" w:color="auto" w:fill="1A3461"/>
            <w:vAlign w:val="center"/>
          </w:tcPr>
          <w:p w14:paraId="6F04F439" w14:textId="77777777" w:rsidR="00065694" w:rsidRDefault="00000000">
            <w:pPr>
              <w:jc w:val="center"/>
            </w:pPr>
            <w:r>
              <w:rPr>
                <w:b/>
                <w:bCs/>
                <w:color w:val="FFFFFF"/>
              </w:rPr>
              <w:t>Daily</w:t>
            </w:r>
          </w:p>
        </w:tc>
        <w:tc>
          <w:tcPr>
            <w:tcW w:w="1740" w:type="dxa"/>
            <w:tcBorders>
              <w:top w:val="single" w:sz="1" w:space="0" w:color="CCCCCC"/>
              <w:left w:val="single" w:sz="1" w:space="0" w:color="CCCCCC"/>
              <w:bottom w:val="single" w:sz="1" w:space="0" w:color="CCCCCC"/>
              <w:right w:val="single" w:sz="1" w:space="0" w:color="CCCCCC"/>
            </w:tcBorders>
            <w:shd w:val="clear" w:color="auto" w:fill="1A3461"/>
            <w:vAlign w:val="center"/>
          </w:tcPr>
          <w:p w14:paraId="2C1A1D74" w14:textId="77777777" w:rsidR="00065694" w:rsidRDefault="00000000">
            <w:pPr>
              <w:jc w:val="center"/>
            </w:pPr>
            <w:r>
              <w:rPr>
                <w:b/>
                <w:bCs/>
                <w:color w:val="FFFFFF"/>
              </w:rPr>
              <w:t>Weekly</w:t>
            </w:r>
          </w:p>
        </w:tc>
        <w:tc>
          <w:tcPr>
            <w:tcW w:w="1740" w:type="dxa"/>
            <w:tcBorders>
              <w:top w:val="single" w:sz="1" w:space="0" w:color="CCCCCC"/>
              <w:left w:val="single" w:sz="1" w:space="0" w:color="CCCCCC"/>
              <w:bottom w:val="single" w:sz="1" w:space="0" w:color="CCCCCC"/>
              <w:right w:val="single" w:sz="1" w:space="0" w:color="CCCCCC"/>
            </w:tcBorders>
            <w:shd w:val="clear" w:color="auto" w:fill="1A3461"/>
            <w:vAlign w:val="center"/>
          </w:tcPr>
          <w:p w14:paraId="00E8B09A" w14:textId="77777777" w:rsidR="00065694" w:rsidRDefault="00000000">
            <w:pPr>
              <w:jc w:val="center"/>
            </w:pPr>
            <w:r>
              <w:rPr>
                <w:b/>
                <w:bCs/>
                <w:color w:val="FFFFFF"/>
              </w:rPr>
              <w:t>Monthly</w:t>
            </w:r>
          </w:p>
        </w:tc>
        <w:tc>
          <w:tcPr>
            <w:tcW w:w="1740" w:type="dxa"/>
            <w:tcBorders>
              <w:top w:val="single" w:sz="1" w:space="0" w:color="CCCCCC"/>
              <w:left w:val="single" w:sz="1" w:space="0" w:color="CCCCCC"/>
              <w:bottom w:val="single" w:sz="1" w:space="0" w:color="CCCCCC"/>
              <w:right w:val="single" w:sz="1" w:space="0" w:color="CCCCCC"/>
            </w:tcBorders>
            <w:shd w:val="clear" w:color="auto" w:fill="1A3461"/>
            <w:vAlign w:val="center"/>
          </w:tcPr>
          <w:p w14:paraId="79CBC607" w14:textId="77777777" w:rsidR="00065694" w:rsidRDefault="00000000">
            <w:pPr>
              <w:jc w:val="center"/>
            </w:pPr>
            <w:r>
              <w:rPr>
                <w:b/>
                <w:bCs/>
                <w:color w:val="FFFFFF"/>
              </w:rPr>
              <w:t>Annual</w:t>
            </w:r>
          </w:p>
        </w:tc>
      </w:tr>
      <w:tr w:rsidR="00065694" w14:paraId="3A1BC7D8" w14:textId="77777777">
        <w:tc>
          <w:tcPr>
            <w:tcW w:w="2400" w:type="dxa"/>
            <w:tcBorders>
              <w:top w:val="single" w:sz="1" w:space="0" w:color="CCCCCC"/>
              <w:left w:val="single" w:sz="1" w:space="0" w:color="CCCCCC"/>
              <w:bottom w:val="single" w:sz="1" w:space="0" w:color="CCCCCC"/>
              <w:right w:val="single" w:sz="1" w:space="0" w:color="CCCCCC"/>
            </w:tcBorders>
            <w:vAlign w:val="center"/>
          </w:tcPr>
          <w:p w14:paraId="526900F7" w14:textId="77777777" w:rsidR="00065694" w:rsidRDefault="00000000">
            <w:pPr>
              <w:spacing w:before="60" w:after="60"/>
              <w:jc w:val="center"/>
            </w:pPr>
            <w:r>
              <w:rPr>
                <w:color w:val="333333"/>
              </w:rPr>
              <w:t>3 patients</w:t>
            </w:r>
          </w:p>
        </w:tc>
        <w:tc>
          <w:tcPr>
            <w:tcW w:w="1740" w:type="dxa"/>
            <w:tcBorders>
              <w:top w:val="single" w:sz="1" w:space="0" w:color="CCCCCC"/>
              <w:left w:val="single" w:sz="1" w:space="0" w:color="CCCCCC"/>
              <w:bottom w:val="single" w:sz="1" w:space="0" w:color="CCCCCC"/>
              <w:right w:val="single" w:sz="1" w:space="0" w:color="CCCCCC"/>
            </w:tcBorders>
            <w:vAlign w:val="center"/>
          </w:tcPr>
          <w:p w14:paraId="2156D435" w14:textId="77777777" w:rsidR="00065694" w:rsidRDefault="00000000">
            <w:pPr>
              <w:spacing w:before="60" w:after="60"/>
              <w:jc w:val="center"/>
            </w:pPr>
            <w:r>
              <w:rPr>
                <w:color w:val="333333"/>
              </w:rPr>
              <w:t>$1,275</w:t>
            </w:r>
          </w:p>
        </w:tc>
        <w:tc>
          <w:tcPr>
            <w:tcW w:w="1740" w:type="dxa"/>
            <w:tcBorders>
              <w:top w:val="single" w:sz="1" w:space="0" w:color="CCCCCC"/>
              <w:left w:val="single" w:sz="1" w:space="0" w:color="CCCCCC"/>
              <w:bottom w:val="single" w:sz="1" w:space="0" w:color="CCCCCC"/>
              <w:right w:val="single" w:sz="1" w:space="0" w:color="CCCCCC"/>
            </w:tcBorders>
            <w:vAlign w:val="center"/>
          </w:tcPr>
          <w:p w14:paraId="1B17ABE1" w14:textId="77777777" w:rsidR="00065694" w:rsidRDefault="00000000">
            <w:pPr>
              <w:spacing w:before="60" w:after="60"/>
              <w:jc w:val="center"/>
            </w:pPr>
            <w:r>
              <w:rPr>
                <w:color w:val="333333"/>
              </w:rPr>
              <w:t>$8,925</w:t>
            </w:r>
          </w:p>
        </w:tc>
        <w:tc>
          <w:tcPr>
            <w:tcW w:w="1740" w:type="dxa"/>
            <w:tcBorders>
              <w:top w:val="single" w:sz="1" w:space="0" w:color="CCCCCC"/>
              <w:left w:val="single" w:sz="1" w:space="0" w:color="CCCCCC"/>
              <w:bottom w:val="single" w:sz="1" w:space="0" w:color="CCCCCC"/>
              <w:right w:val="single" w:sz="1" w:space="0" w:color="CCCCCC"/>
            </w:tcBorders>
            <w:vAlign w:val="center"/>
          </w:tcPr>
          <w:p w14:paraId="76299A2C" w14:textId="77777777" w:rsidR="00065694" w:rsidRDefault="00000000">
            <w:pPr>
              <w:spacing w:before="60" w:after="60"/>
              <w:jc w:val="center"/>
            </w:pPr>
            <w:r>
              <w:rPr>
                <w:b/>
                <w:bCs/>
                <w:color w:val="333333"/>
              </w:rPr>
              <w:t>$38,250</w:t>
            </w:r>
          </w:p>
        </w:tc>
        <w:tc>
          <w:tcPr>
            <w:tcW w:w="1740" w:type="dxa"/>
            <w:tcBorders>
              <w:top w:val="single" w:sz="1" w:space="0" w:color="CCCCCC"/>
              <w:left w:val="single" w:sz="1" w:space="0" w:color="CCCCCC"/>
              <w:bottom w:val="single" w:sz="1" w:space="0" w:color="CCCCCC"/>
              <w:right w:val="single" w:sz="1" w:space="0" w:color="CCCCCC"/>
            </w:tcBorders>
            <w:vAlign w:val="center"/>
          </w:tcPr>
          <w:p w14:paraId="350C761B" w14:textId="77777777" w:rsidR="00065694" w:rsidRDefault="00000000">
            <w:pPr>
              <w:spacing w:before="60" w:after="60"/>
              <w:jc w:val="center"/>
            </w:pPr>
            <w:r>
              <w:rPr>
                <w:b/>
                <w:bCs/>
                <w:color w:val="333333"/>
              </w:rPr>
              <w:t>$465,375</w:t>
            </w:r>
          </w:p>
        </w:tc>
      </w:tr>
      <w:tr w:rsidR="00065694" w14:paraId="414AEBFA" w14:textId="77777777">
        <w:tc>
          <w:tcPr>
            <w:tcW w:w="2400" w:type="dxa"/>
            <w:tcBorders>
              <w:top w:val="single" w:sz="1" w:space="0" w:color="CCCCCC"/>
              <w:left w:val="single" w:sz="1" w:space="0" w:color="CCCCCC"/>
              <w:bottom w:val="single" w:sz="1" w:space="0" w:color="CCCCCC"/>
              <w:right w:val="single" w:sz="1" w:space="0" w:color="CCCCCC"/>
            </w:tcBorders>
            <w:vAlign w:val="center"/>
          </w:tcPr>
          <w:p w14:paraId="56CE81BC" w14:textId="77777777" w:rsidR="00065694" w:rsidRDefault="00000000">
            <w:pPr>
              <w:spacing w:before="60" w:after="60"/>
              <w:jc w:val="center"/>
            </w:pPr>
            <w:r>
              <w:rPr>
                <w:color w:val="333333"/>
              </w:rPr>
              <w:t>5 patients</w:t>
            </w:r>
          </w:p>
        </w:tc>
        <w:tc>
          <w:tcPr>
            <w:tcW w:w="1740" w:type="dxa"/>
            <w:tcBorders>
              <w:top w:val="single" w:sz="1" w:space="0" w:color="CCCCCC"/>
              <w:left w:val="single" w:sz="1" w:space="0" w:color="CCCCCC"/>
              <w:bottom w:val="single" w:sz="1" w:space="0" w:color="CCCCCC"/>
              <w:right w:val="single" w:sz="1" w:space="0" w:color="CCCCCC"/>
            </w:tcBorders>
            <w:vAlign w:val="center"/>
          </w:tcPr>
          <w:p w14:paraId="4B53E216" w14:textId="77777777" w:rsidR="00065694" w:rsidRDefault="00000000">
            <w:pPr>
              <w:spacing w:before="60" w:after="60"/>
              <w:jc w:val="center"/>
            </w:pPr>
            <w:r>
              <w:rPr>
                <w:color w:val="333333"/>
              </w:rPr>
              <w:t>$2,125</w:t>
            </w:r>
          </w:p>
        </w:tc>
        <w:tc>
          <w:tcPr>
            <w:tcW w:w="1740" w:type="dxa"/>
            <w:tcBorders>
              <w:top w:val="single" w:sz="1" w:space="0" w:color="CCCCCC"/>
              <w:left w:val="single" w:sz="1" w:space="0" w:color="CCCCCC"/>
              <w:bottom w:val="single" w:sz="1" w:space="0" w:color="CCCCCC"/>
              <w:right w:val="single" w:sz="1" w:space="0" w:color="CCCCCC"/>
            </w:tcBorders>
            <w:vAlign w:val="center"/>
          </w:tcPr>
          <w:p w14:paraId="6C154932" w14:textId="77777777" w:rsidR="00065694" w:rsidRDefault="00000000">
            <w:pPr>
              <w:spacing w:before="60" w:after="60"/>
              <w:jc w:val="center"/>
            </w:pPr>
            <w:r>
              <w:rPr>
                <w:color w:val="333333"/>
              </w:rPr>
              <w:t>$14,875</w:t>
            </w:r>
          </w:p>
        </w:tc>
        <w:tc>
          <w:tcPr>
            <w:tcW w:w="1740" w:type="dxa"/>
            <w:tcBorders>
              <w:top w:val="single" w:sz="1" w:space="0" w:color="CCCCCC"/>
              <w:left w:val="single" w:sz="1" w:space="0" w:color="CCCCCC"/>
              <w:bottom w:val="single" w:sz="1" w:space="0" w:color="CCCCCC"/>
              <w:right w:val="single" w:sz="1" w:space="0" w:color="CCCCCC"/>
            </w:tcBorders>
            <w:vAlign w:val="center"/>
          </w:tcPr>
          <w:p w14:paraId="07A5EFE4" w14:textId="77777777" w:rsidR="00065694" w:rsidRDefault="00000000">
            <w:pPr>
              <w:spacing w:before="60" w:after="60"/>
              <w:jc w:val="center"/>
            </w:pPr>
            <w:r>
              <w:rPr>
                <w:b/>
                <w:bCs/>
                <w:color w:val="333333"/>
              </w:rPr>
              <w:t>$63,750</w:t>
            </w:r>
          </w:p>
        </w:tc>
        <w:tc>
          <w:tcPr>
            <w:tcW w:w="1740" w:type="dxa"/>
            <w:tcBorders>
              <w:top w:val="single" w:sz="1" w:space="0" w:color="CCCCCC"/>
              <w:left w:val="single" w:sz="1" w:space="0" w:color="CCCCCC"/>
              <w:bottom w:val="single" w:sz="1" w:space="0" w:color="CCCCCC"/>
              <w:right w:val="single" w:sz="1" w:space="0" w:color="CCCCCC"/>
            </w:tcBorders>
            <w:vAlign w:val="center"/>
          </w:tcPr>
          <w:p w14:paraId="03F0A086" w14:textId="77777777" w:rsidR="00065694" w:rsidRDefault="00000000">
            <w:pPr>
              <w:spacing w:before="60" w:after="60"/>
              <w:jc w:val="center"/>
            </w:pPr>
            <w:r>
              <w:rPr>
                <w:b/>
                <w:bCs/>
                <w:color w:val="333333"/>
              </w:rPr>
              <w:t>$775,625</w:t>
            </w:r>
          </w:p>
        </w:tc>
      </w:tr>
      <w:tr w:rsidR="00065694" w14:paraId="6AAE9308" w14:textId="77777777">
        <w:tc>
          <w:tcPr>
            <w:tcW w:w="2400" w:type="dxa"/>
            <w:tcBorders>
              <w:top w:val="single" w:sz="1" w:space="0" w:color="CCCCCC"/>
              <w:left w:val="single" w:sz="1" w:space="0" w:color="CCCCCC"/>
              <w:bottom w:val="single" w:sz="1" w:space="0" w:color="CCCCCC"/>
              <w:right w:val="single" w:sz="1" w:space="0" w:color="CCCCCC"/>
            </w:tcBorders>
            <w:vAlign w:val="center"/>
          </w:tcPr>
          <w:p w14:paraId="724BB19B" w14:textId="77777777" w:rsidR="00065694" w:rsidRDefault="00000000">
            <w:pPr>
              <w:spacing w:before="60" w:after="60"/>
              <w:jc w:val="center"/>
            </w:pPr>
            <w:r>
              <w:rPr>
                <w:color w:val="333333"/>
              </w:rPr>
              <w:t>10 patients</w:t>
            </w:r>
          </w:p>
        </w:tc>
        <w:tc>
          <w:tcPr>
            <w:tcW w:w="1740" w:type="dxa"/>
            <w:tcBorders>
              <w:top w:val="single" w:sz="1" w:space="0" w:color="CCCCCC"/>
              <w:left w:val="single" w:sz="1" w:space="0" w:color="CCCCCC"/>
              <w:bottom w:val="single" w:sz="1" w:space="0" w:color="CCCCCC"/>
              <w:right w:val="single" w:sz="1" w:space="0" w:color="CCCCCC"/>
            </w:tcBorders>
            <w:vAlign w:val="center"/>
          </w:tcPr>
          <w:p w14:paraId="5CE974B4" w14:textId="77777777" w:rsidR="00065694" w:rsidRDefault="00000000">
            <w:pPr>
              <w:spacing w:before="60" w:after="60"/>
              <w:jc w:val="center"/>
            </w:pPr>
            <w:r>
              <w:rPr>
                <w:color w:val="333333"/>
              </w:rPr>
              <w:t>$4,250</w:t>
            </w:r>
          </w:p>
        </w:tc>
        <w:tc>
          <w:tcPr>
            <w:tcW w:w="1740" w:type="dxa"/>
            <w:tcBorders>
              <w:top w:val="single" w:sz="1" w:space="0" w:color="CCCCCC"/>
              <w:left w:val="single" w:sz="1" w:space="0" w:color="CCCCCC"/>
              <w:bottom w:val="single" w:sz="1" w:space="0" w:color="CCCCCC"/>
              <w:right w:val="single" w:sz="1" w:space="0" w:color="CCCCCC"/>
            </w:tcBorders>
            <w:vAlign w:val="center"/>
          </w:tcPr>
          <w:p w14:paraId="032EFEBA" w14:textId="77777777" w:rsidR="00065694" w:rsidRDefault="00000000">
            <w:pPr>
              <w:spacing w:before="60" w:after="60"/>
              <w:jc w:val="center"/>
            </w:pPr>
            <w:r>
              <w:rPr>
                <w:color w:val="333333"/>
              </w:rPr>
              <w:t>$29,750</w:t>
            </w:r>
          </w:p>
        </w:tc>
        <w:tc>
          <w:tcPr>
            <w:tcW w:w="1740" w:type="dxa"/>
            <w:tcBorders>
              <w:top w:val="single" w:sz="1" w:space="0" w:color="CCCCCC"/>
              <w:left w:val="single" w:sz="1" w:space="0" w:color="CCCCCC"/>
              <w:bottom w:val="single" w:sz="1" w:space="0" w:color="CCCCCC"/>
              <w:right w:val="single" w:sz="1" w:space="0" w:color="CCCCCC"/>
            </w:tcBorders>
            <w:vAlign w:val="center"/>
          </w:tcPr>
          <w:p w14:paraId="3CEED72C" w14:textId="77777777" w:rsidR="00065694" w:rsidRDefault="00000000">
            <w:pPr>
              <w:spacing w:before="60" w:after="60"/>
              <w:jc w:val="center"/>
            </w:pPr>
            <w:r>
              <w:rPr>
                <w:b/>
                <w:bCs/>
                <w:color w:val="333333"/>
              </w:rPr>
              <w:t>$127,500</w:t>
            </w:r>
          </w:p>
        </w:tc>
        <w:tc>
          <w:tcPr>
            <w:tcW w:w="1740" w:type="dxa"/>
            <w:tcBorders>
              <w:top w:val="single" w:sz="1" w:space="0" w:color="CCCCCC"/>
              <w:left w:val="single" w:sz="1" w:space="0" w:color="CCCCCC"/>
              <w:bottom w:val="single" w:sz="1" w:space="0" w:color="CCCCCC"/>
              <w:right w:val="single" w:sz="1" w:space="0" w:color="CCCCCC"/>
            </w:tcBorders>
            <w:vAlign w:val="center"/>
          </w:tcPr>
          <w:p w14:paraId="31C19645" w14:textId="77777777" w:rsidR="00065694" w:rsidRDefault="00000000">
            <w:pPr>
              <w:spacing w:before="60" w:after="60"/>
              <w:jc w:val="center"/>
            </w:pPr>
            <w:r>
              <w:rPr>
                <w:b/>
                <w:bCs/>
                <w:color w:val="333333"/>
              </w:rPr>
              <w:t>$1,551,250</w:t>
            </w:r>
          </w:p>
        </w:tc>
      </w:tr>
      <w:tr w:rsidR="00065694" w14:paraId="695F6397" w14:textId="77777777">
        <w:tc>
          <w:tcPr>
            <w:tcW w:w="2400" w:type="dxa"/>
            <w:tcBorders>
              <w:top w:val="single" w:sz="1" w:space="0" w:color="CCCCCC"/>
              <w:left w:val="single" w:sz="1" w:space="0" w:color="CCCCCC"/>
              <w:bottom w:val="single" w:sz="1" w:space="0" w:color="CCCCCC"/>
              <w:right w:val="single" w:sz="1" w:space="0" w:color="CCCCCC"/>
            </w:tcBorders>
            <w:shd w:val="clear" w:color="auto" w:fill="F7F4EE"/>
            <w:vAlign w:val="center"/>
          </w:tcPr>
          <w:p w14:paraId="464B7C10" w14:textId="77777777" w:rsidR="00065694" w:rsidRDefault="00000000">
            <w:pPr>
              <w:spacing w:before="60" w:after="60"/>
              <w:jc w:val="center"/>
            </w:pPr>
            <w:r>
              <w:rPr>
                <w:color w:val="333333"/>
              </w:rPr>
              <w:t>15 patients</w:t>
            </w:r>
          </w:p>
        </w:tc>
        <w:tc>
          <w:tcPr>
            <w:tcW w:w="1740" w:type="dxa"/>
            <w:tcBorders>
              <w:top w:val="single" w:sz="1" w:space="0" w:color="CCCCCC"/>
              <w:left w:val="single" w:sz="1" w:space="0" w:color="CCCCCC"/>
              <w:bottom w:val="single" w:sz="1" w:space="0" w:color="CCCCCC"/>
              <w:right w:val="single" w:sz="1" w:space="0" w:color="CCCCCC"/>
            </w:tcBorders>
            <w:shd w:val="clear" w:color="auto" w:fill="F7F4EE"/>
            <w:vAlign w:val="center"/>
          </w:tcPr>
          <w:p w14:paraId="58E349B4" w14:textId="77777777" w:rsidR="00065694" w:rsidRDefault="00000000">
            <w:pPr>
              <w:spacing w:before="60" w:after="60"/>
              <w:jc w:val="center"/>
            </w:pPr>
            <w:r>
              <w:rPr>
                <w:color w:val="333333"/>
              </w:rPr>
              <w:t>$6,375</w:t>
            </w:r>
          </w:p>
        </w:tc>
        <w:tc>
          <w:tcPr>
            <w:tcW w:w="1740" w:type="dxa"/>
            <w:tcBorders>
              <w:top w:val="single" w:sz="1" w:space="0" w:color="CCCCCC"/>
              <w:left w:val="single" w:sz="1" w:space="0" w:color="CCCCCC"/>
              <w:bottom w:val="single" w:sz="1" w:space="0" w:color="CCCCCC"/>
              <w:right w:val="single" w:sz="1" w:space="0" w:color="CCCCCC"/>
            </w:tcBorders>
            <w:shd w:val="clear" w:color="auto" w:fill="F7F4EE"/>
            <w:vAlign w:val="center"/>
          </w:tcPr>
          <w:p w14:paraId="228F5AB4" w14:textId="77777777" w:rsidR="00065694" w:rsidRDefault="00000000">
            <w:pPr>
              <w:spacing w:before="60" w:after="60"/>
              <w:jc w:val="center"/>
            </w:pPr>
            <w:r>
              <w:rPr>
                <w:color w:val="333333"/>
              </w:rPr>
              <w:t>$44,625</w:t>
            </w:r>
          </w:p>
        </w:tc>
        <w:tc>
          <w:tcPr>
            <w:tcW w:w="1740" w:type="dxa"/>
            <w:tcBorders>
              <w:top w:val="single" w:sz="1" w:space="0" w:color="CCCCCC"/>
              <w:left w:val="single" w:sz="1" w:space="0" w:color="CCCCCC"/>
              <w:bottom w:val="single" w:sz="1" w:space="0" w:color="CCCCCC"/>
              <w:right w:val="single" w:sz="1" w:space="0" w:color="CCCCCC"/>
            </w:tcBorders>
            <w:shd w:val="clear" w:color="auto" w:fill="F7F4EE"/>
            <w:vAlign w:val="center"/>
          </w:tcPr>
          <w:p w14:paraId="70977CD6" w14:textId="77777777" w:rsidR="00065694" w:rsidRDefault="00000000">
            <w:pPr>
              <w:spacing w:before="60" w:after="60"/>
              <w:jc w:val="center"/>
            </w:pPr>
            <w:r>
              <w:rPr>
                <w:b/>
                <w:bCs/>
                <w:color w:val="333333"/>
              </w:rPr>
              <w:t>$191,250</w:t>
            </w:r>
          </w:p>
        </w:tc>
        <w:tc>
          <w:tcPr>
            <w:tcW w:w="1740" w:type="dxa"/>
            <w:tcBorders>
              <w:top w:val="single" w:sz="1" w:space="0" w:color="CCCCCC"/>
              <w:left w:val="single" w:sz="1" w:space="0" w:color="CCCCCC"/>
              <w:bottom w:val="single" w:sz="1" w:space="0" w:color="CCCCCC"/>
              <w:right w:val="single" w:sz="1" w:space="0" w:color="CCCCCC"/>
            </w:tcBorders>
            <w:shd w:val="clear" w:color="auto" w:fill="F7F4EE"/>
            <w:vAlign w:val="center"/>
          </w:tcPr>
          <w:p w14:paraId="7E9D0896" w14:textId="77777777" w:rsidR="00065694" w:rsidRDefault="00000000">
            <w:pPr>
              <w:spacing w:before="60" w:after="60"/>
              <w:jc w:val="center"/>
            </w:pPr>
            <w:r>
              <w:rPr>
                <w:b/>
                <w:bCs/>
                <w:color w:val="333333"/>
              </w:rPr>
              <w:t>$2,326,875</w:t>
            </w:r>
          </w:p>
        </w:tc>
      </w:tr>
      <w:tr w:rsidR="00065694" w14:paraId="222D9064" w14:textId="77777777">
        <w:tc>
          <w:tcPr>
            <w:tcW w:w="2400" w:type="dxa"/>
            <w:tcBorders>
              <w:top w:val="single" w:sz="1" w:space="0" w:color="CCCCCC"/>
              <w:left w:val="single" w:sz="1" w:space="0" w:color="CCCCCC"/>
              <w:bottom w:val="single" w:sz="1" w:space="0" w:color="CCCCCC"/>
              <w:right w:val="single" w:sz="1" w:space="0" w:color="CCCCCC"/>
            </w:tcBorders>
            <w:shd w:val="clear" w:color="auto" w:fill="F7F4EE"/>
            <w:vAlign w:val="center"/>
          </w:tcPr>
          <w:p w14:paraId="0B7C96DD" w14:textId="77777777" w:rsidR="00065694" w:rsidRDefault="00000000">
            <w:pPr>
              <w:spacing w:before="60" w:after="60"/>
              <w:jc w:val="center"/>
            </w:pPr>
            <w:r>
              <w:rPr>
                <w:color w:val="333333"/>
              </w:rPr>
              <w:t>20 patients</w:t>
            </w:r>
          </w:p>
        </w:tc>
        <w:tc>
          <w:tcPr>
            <w:tcW w:w="1740" w:type="dxa"/>
            <w:tcBorders>
              <w:top w:val="single" w:sz="1" w:space="0" w:color="CCCCCC"/>
              <w:left w:val="single" w:sz="1" w:space="0" w:color="CCCCCC"/>
              <w:bottom w:val="single" w:sz="1" w:space="0" w:color="CCCCCC"/>
              <w:right w:val="single" w:sz="1" w:space="0" w:color="CCCCCC"/>
            </w:tcBorders>
            <w:shd w:val="clear" w:color="auto" w:fill="F7F4EE"/>
            <w:vAlign w:val="center"/>
          </w:tcPr>
          <w:p w14:paraId="45B44B31" w14:textId="77777777" w:rsidR="00065694" w:rsidRDefault="00000000">
            <w:pPr>
              <w:spacing w:before="60" w:after="60"/>
              <w:jc w:val="center"/>
            </w:pPr>
            <w:r>
              <w:rPr>
                <w:color w:val="333333"/>
              </w:rPr>
              <w:t>$8,500</w:t>
            </w:r>
          </w:p>
        </w:tc>
        <w:tc>
          <w:tcPr>
            <w:tcW w:w="1740" w:type="dxa"/>
            <w:tcBorders>
              <w:top w:val="single" w:sz="1" w:space="0" w:color="CCCCCC"/>
              <w:left w:val="single" w:sz="1" w:space="0" w:color="CCCCCC"/>
              <w:bottom w:val="single" w:sz="1" w:space="0" w:color="CCCCCC"/>
              <w:right w:val="single" w:sz="1" w:space="0" w:color="CCCCCC"/>
            </w:tcBorders>
            <w:shd w:val="clear" w:color="auto" w:fill="F7F4EE"/>
            <w:vAlign w:val="center"/>
          </w:tcPr>
          <w:p w14:paraId="30B56567" w14:textId="77777777" w:rsidR="00065694" w:rsidRDefault="00000000">
            <w:pPr>
              <w:spacing w:before="60" w:after="60"/>
              <w:jc w:val="center"/>
            </w:pPr>
            <w:r>
              <w:rPr>
                <w:color w:val="333333"/>
              </w:rPr>
              <w:t>$59,500</w:t>
            </w:r>
          </w:p>
        </w:tc>
        <w:tc>
          <w:tcPr>
            <w:tcW w:w="1740" w:type="dxa"/>
            <w:tcBorders>
              <w:top w:val="single" w:sz="1" w:space="0" w:color="CCCCCC"/>
              <w:left w:val="single" w:sz="1" w:space="0" w:color="CCCCCC"/>
              <w:bottom w:val="single" w:sz="1" w:space="0" w:color="CCCCCC"/>
              <w:right w:val="single" w:sz="1" w:space="0" w:color="CCCCCC"/>
            </w:tcBorders>
            <w:shd w:val="clear" w:color="auto" w:fill="F7F4EE"/>
            <w:vAlign w:val="center"/>
          </w:tcPr>
          <w:p w14:paraId="39FFE8A6" w14:textId="77777777" w:rsidR="00065694" w:rsidRDefault="00000000">
            <w:pPr>
              <w:spacing w:before="60" w:after="60"/>
              <w:jc w:val="center"/>
            </w:pPr>
            <w:r>
              <w:rPr>
                <w:b/>
                <w:bCs/>
                <w:color w:val="333333"/>
              </w:rPr>
              <w:t>$255,000</w:t>
            </w:r>
          </w:p>
        </w:tc>
        <w:tc>
          <w:tcPr>
            <w:tcW w:w="1740" w:type="dxa"/>
            <w:tcBorders>
              <w:top w:val="single" w:sz="1" w:space="0" w:color="CCCCCC"/>
              <w:left w:val="single" w:sz="1" w:space="0" w:color="CCCCCC"/>
              <w:bottom w:val="single" w:sz="1" w:space="0" w:color="CCCCCC"/>
              <w:right w:val="single" w:sz="1" w:space="0" w:color="CCCCCC"/>
            </w:tcBorders>
            <w:shd w:val="clear" w:color="auto" w:fill="F7F4EE"/>
            <w:vAlign w:val="center"/>
          </w:tcPr>
          <w:p w14:paraId="298D060B" w14:textId="77777777" w:rsidR="00065694" w:rsidRDefault="00000000">
            <w:pPr>
              <w:spacing w:before="60" w:after="60"/>
              <w:jc w:val="center"/>
            </w:pPr>
            <w:r>
              <w:rPr>
                <w:b/>
                <w:bCs/>
                <w:color w:val="333333"/>
              </w:rPr>
              <w:t>$3,102,500</w:t>
            </w:r>
          </w:p>
        </w:tc>
      </w:tr>
    </w:tbl>
    <w:p w14:paraId="49090F3D" w14:textId="77777777" w:rsidR="00065694" w:rsidRDefault="00065694">
      <w:pPr>
        <w:spacing w:after="40"/>
      </w:pPr>
    </w:p>
    <w:p w14:paraId="7B9A78DD" w14:textId="77777777" w:rsidR="00065694" w:rsidRDefault="00000000">
      <w:pPr>
        <w:spacing w:after="160"/>
      </w:pPr>
      <w:r>
        <w:rPr>
          <w:color w:val="666666"/>
          <w:sz w:val="18"/>
          <w:szCs w:val="18"/>
        </w:rPr>
        <w:t>Based on $425/day (state program baseline). Annual = daily rate x 365 days. Does not include dual billing, residential, IOP, or PHP revenue.</w:t>
      </w:r>
    </w:p>
    <w:p w14:paraId="701BB117" w14:textId="77777777" w:rsidR="00065694" w:rsidRDefault="00065694">
      <w:pPr>
        <w:spacing w:after="120"/>
      </w:pPr>
    </w:p>
    <w:p w14:paraId="7165B477" w14:textId="77777777" w:rsidR="00065694" w:rsidRDefault="00000000">
      <w:pPr>
        <w:pStyle w:val="Heading2"/>
      </w:pPr>
      <w:r>
        <w:t>These Are Patients You Already See</w:t>
      </w:r>
    </w:p>
    <w:p w14:paraId="65C935D6" w14:textId="77777777" w:rsidR="00065694" w:rsidRDefault="00000000">
      <w:pPr>
        <w:spacing w:after="160"/>
      </w:pPr>
      <w:r>
        <w:rPr>
          <w:color w:val="333333"/>
        </w:rPr>
        <w:t xml:space="preserve">This revenue does not require new marketing </w:t>
      </w:r>
      <w:proofErr w:type="gramStart"/>
      <w:r>
        <w:rPr>
          <w:color w:val="333333"/>
        </w:rPr>
        <w:t>spend</w:t>
      </w:r>
      <w:proofErr w:type="gramEnd"/>
      <w:r>
        <w:rPr>
          <w:color w:val="333333"/>
        </w:rPr>
        <w:t xml:space="preserve"> or new patient acquisition. In most treatment centers, 10 out of every 20 admissions qualify for ambulatory detox. These patients are already walking through your door — you are simply sending them somewhere else for detox and hoping they come back.</w:t>
      </w:r>
    </w:p>
    <w:p w14:paraId="73232F47" w14:textId="77777777" w:rsidR="00065694" w:rsidRDefault="00065694">
      <w:pPr>
        <w:spacing w:after="80"/>
      </w:pPr>
    </w:p>
    <w:p w14:paraId="27D99D26" w14:textId="77777777" w:rsidR="00065694" w:rsidRDefault="00000000">
      <w:pPr>
        <w:pStyle w:val="Heading2"/>
      </w:pPr>
      <w:r>
        <w:t>The Dual Billing Upside</w:t>
      </w:r>
    </w:p>
    <w:p w14:paraId="626E7313" w14:textId="77777777" w:rsidR="00065694" w:rsidRDefault="00000000">
      <w:pPr>
        <w:spacing w:after="160"/>
      </w:pPr>
      <w:r>
        <w:rPr>
          <w:color w:val="333333"/>
        </w:rPr>
        <w:t xml:space="preserve">After 5–6 days of stabilization in ambulatory detox, patients can enter your residential program while </w:t>
      </w:r>
      <w:proofErr w:type="gramStart"/>
      <w:r>
        <w:rPr>
          <w:color w:val="333333"/>
        </w:rPr>
        <w:t>still continuing</w:t>
      </w:r>
      <w:proofErr w:type="gramEnd"/>
      <w:r>
        <w:rPr>
          <w:color w:val="333333"/>
        </w:rPr>
        <w:t xml:space="preserve"> the detox protocol. Insurance pays both levels of care simultaneously:</w:t>
      </w:r>
    </w:p>
    <w:p w14:paraId="4241898D" w14:textId="77777777" w:rsidR="00065694" w:rsidRDefault="00065694">
      <w:pPr>
        <w:spacing w:after="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200" w:type="dxa"/>
          <w:bottom w:w="120" w:type="dxa"/>
          <w:right w:w="200" w:type="dxa"/>
        </w:tblCellMar>
        <w:tblLook w:val="04A0" w:firstRow="1" w:lastRow="0" w:firstColumn="1" w:lastColumn="0" w:noHBand="0" w:noVBand="1"/>
      </w:tblPr>
      <w:tblGrid>
        <w:gridCol w:w="9013"/>
      </w:tblGrid>
      <w:tr w:rsidR="00065694" w14:paraId="40112718" w14:textId="77777777">
        <w:tc>
          <w:tcPr>
            <w:tcW w:w="9360" w:type="dxa"/>
            <w:tcBorders>
              <w:top w:val="single" w:sz="2" w:space="0" w:color="C4A74E"/>
              <w:left w:val="single" w:sz="8" w:space="0" w:color="C4A74E"/>
              <w:bottom w:val="single" w:sz="2" w:space="0" w:color="C4A74E"/>
              <w:right w:val="single" w:sz="2" w:space="0" w:color="C4A74E"/>
            </w:tcBorders>
            <w:shd w:val="clear" w:color="auto" w:fill="F7F4EE"/>
          </w:tcPr>
          <w:p w14:paraId="6746C468" w14:textId="77777777" w:rsidR="00065694" w:rsidRDefault="00000000">
            <w:pPr>
              <w:spacing w:after="80"/>
            </w:pPr>
            <w:r>
              <w:rPr>
                <w:b/>
                <w:bCs/>
                <w:color w:val="1A3461"/>
              </w:rPr>
              <w:t>$425/day (ambulatory detox) + $700/day (residential) = $1,125/day combined</w:t>
            </w:r>
          </w:p>
          <w:p w14:paraId="20E9AFFC" w14:textId="77777777" w:rsidR="00065694" w:rsidRDefault="00000000">
            <w:pPr>
              <w:spacing w:after="80"/>
            </w:pPr>
            <w:r>
              <w:rPr>
                <w:color w:val="1A3461"/>
              </w:rPr>
              <w:t xml:space="preserve">Dual billing is not factored </w:t>
            </w:r>
            <w:proofErr w:type="gramStart"/>
            <w:r>
              <w:rPr>
                <w:color w:val="1A3461"/>
              </w:rPr>
              <w:t>into</w:t>
            </w:r>
            <w:proofErr w:type="gramEnd"/>
            <w:r>
              <w:rPr>
                <w:color w:val="1A3461"/>
              </w:rPr>
              <w:t xml:space="preserve"> the </w:t>
            </w:r>
            <w:proofErr w:type="gramStart"/>
            <w:r>
              <w:rPr>
                <w:color w:val="1A3461"/>
              </w:rPr>
              <w:t>projections above</w:t>
            </w:r>
            <w:proofErr w:type="gramEnd"/>
            <w:r>
              <w:rPr>
                <w:color w:val="1A3461"/>
              </w:rPr>
              <w:t>. It is additional revenue on top of those numbers.</w:t>
            </w:r>
          </w:p>
        </w:tc>
      </w:tr>
    </w:tbl>
    <w:p w14:paraId="6D15A7AC" w14:textId="77777777" w:rsidR="00065694" w:rsidRDefault="00065694">
      <w:pPr>
        <w:spacing w:after="120"/>
      </w:pPr>
    </w:p>
    <w:p w14:paraId="72CE5729" w14:textId="77777777" w:rsidR="00065694" w:rsidRDefault="00000000">
      <w:pPr>
        <w:pStyle w:val="Heading2"/>
      </w:pPr>
      <w:r>
        <w:t>What This Revenue Could Fund</w:t>
      </w:r>
    </w:p>
    <w:p w14:paraId="70F2AC77" w14:textId="77777777" w:rsidR="00065694" w:rsidRDefault="00000000">
      <w:pPr>
        <w:spacing w:after="160"/>
      </w:pPr>
      <w:r>
        <w:rPr>
          <w:color w:val="333333"/>
        </w:rPr>
        <w:t>At even the conservative 5-patient-per-week tier ($63,750/month):</w:t>
      </w:r>
    </w:p>
    <w:p w14:paraId="28CF32B7" w14:textId="77777777" w:rsidR="00065694" w:rsidRDefault="00000000">
      <w:pPr>
        <w:pStyle w:val="ListParagraph"/>
        <w:numPr>
          <w:ilvl w:val="0"/>
          <w:numId w:val="3"/>
        </w:numPr>
        <w:spacing w:after="80"/>
      </w:pPr>
      <w:r>
        <w:rPr>
          <w:color w:val="333333"/>
        </w:rPr>
        <w:t>A full-time clinical hire and additional program expansion</w:t>
      </w:r>
    </w:p>
    <w:p w14:paraId="2FD95619" w14:textId="77777777" w:rsidR="00065694" w:rsidRDefault="00000000">
      <w:pPr>
        <w:pStyle w:val="ListParagraph"/>
        <w:numPr>
          <w:ilvl w:val="0"/>
          <w:numId w:val="3"/>
        </w:numPr>
        <w:spacing w:after="80"/>
      </w:pPr>
      <w:r>
        <w:rPr>
          <w:color w:val="333333"/>
        </w:rPr>
        <w:t>Technology and infrastructure upgrades across your operation</w:t>
      </w:r>
    </w:p>
    <w:p w14:paraId="3FC8B8BA" w14:textId="77777777" w:rsidR="00065694" w:rsidRDefault="00000000">
      <w:pPr>
        <w:pStyle w:val="ListParagraph"/>
        <w:numPr>
          <w:ilvl w:val="0"/>
          <w:numId w:val="3"/>
        </w:numPr>
        <w:spacing w:after="80"/>
      </w:pPr>
      <w:r>
        <w:rPr>
          <w:color w:val="333333"/>
        </w:rPr>
        <w:t>Marketing investment to grow other service lines</w:t>
      </w:r>
    </w:p>
    <w:p w14:paraId="12638187" w14:textId="77777777" w:rsidR="00065694" w:rsidRDefault="00000000">
      <w:pPr>
        <w:pStyle w:val="ListParagraph"/>
        <w:numPr>
          <w:ilvl w:val="0"/>
          <w:numId w:val="3"/>
        </w:numPr>
        <w:spacing w:after="80"/>
      </w:pPr>
      <w:r>
        <w:rPr>
          <w:color w:val="333333"/>
        </w:rPr>
        <w:t>Reduced financial pressure on existing programs that are margin-thin</w:t>
      </w:r>
    </w:p>
    <w:p w14:paraId="0E6CD63D" w14:textId="77777777" w:rsidR="00065694" w:rsidRDefault="00065694">
      <w:pPr>
        <w:spacing w:after="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200" w:type="dxa"/>
          <w:bottom w:w="120" w:type="dxa"/>
          <w:right w:w="200" w:type="dxa"/>
        </w:tblCellMar>
        <w:tblLook w:val="04A0" w:firstRow="1" w:lastRow="0" w:firstColumn="1" w:lastColumn="0" w:noHBand="0" w:noVBand="1"/>
      </w:tblPr>
      <w:tblGrid>
        <w:gridCol w:w="9013"/>
      </w:tblGrid>
      <w:tr w:rsidR="00065694" w14:paraId="6F8CEA31" w14:textId="77777777">
        <w:tc>
          <w:tcPr>
            <w:tcW w:w="9360" w:type="dxa"/>
            <w:tcBorders>
              <w:top w:val="single" w:sz="2" w:space="0" w:color="C4A74E"/>
              <w:left w:val="single" w:sz="8" w:space="0" w:color="C4A74E"/>
              <w:bottom w:val="single" w:sz="2" w:space="0" w:color="C4A74E"/>
              <w:right w:val="single" w:sz="2" w:space="0" w:color="C4A74E"/>
            </w:tcBorders>
            <w:shd w:val="clear" w:color="auto" w:fill="F7F4EE"/>
          </w:tcPr>
          <w:p w14:paraId="00638C80" w14:textId="77777777" w:rsidR="00065694" w:rsidRDefault="00000000">
            <w:pPr>
              <w:spacing w:after="80"/>
            </w:pPr>
            <w:r>
              <w:rPr>
                <w:b/>
                <w:bCs/>
                <w:color w:val="1A3461"/>
              </w:rPr>
              <w:t>Net Profit Context</w:t>
            </w:r>
          </w:p>
          <w:p w14:paraId="0611AFAB" w14:textId="77777777" w:rsidR="00065694" w:rsidRDefault="00000000">
            <w:pPr>
              <w:spacing w:after="80"/>
            </w:pPr>
            <w:r>
              <w:rPr>
                <w:color w:val="1A3461"/>
              </w:rPr>
              <w:t>At the ambulatory detox high-end monthly overhead of $15,500, annual operating cost is approximately $186,000. Against $2.3M+ in annual gross revenue at the 15-patient tier, the margin is substantial. Even at 5 patients per week, the overhead-to-revenue ratio is among the best in behavioral health.</w:t>
            </w:r>
          </w:p>
        </w:tc>
      </w:tr>
    </w:tbl>
    <w:p w14:paraId="0C01556C" w14:textId="77777777" w:rsidR="00065694" w:rsidRDefault="00065694">
      <w:pPr>
        <w:spacing w:after="120"/>
      </w:pPr>
    </w:p>
    <w:p w14:paraId="2A36C80F" w14:textId="77777777" w:rsidR="00065694" w:rsidRDefault="00000000">
      <w:pPr>
        <w:pStyle w:val="Heading2"/>
      </w:pPr>
      <w:r>
        <w:t>Long-Term Aftercare Revenue: Beyond the Detox Episode</w:t>
      </w:r>
    </w:p>
    <w:p w14:paraId="12A5A74B" w14:textId="77777777" w:rsidR="00065694" w:rsidRDefault="00000000">
      <w:pPr>
        <w:spacing w:after="160"/>
      </w:pPr>
      <w:r>
        <w:rPr>
          <w:color w:val="333333"/>
        </w:rPr>
        <w:t xml:space="preserve">The revenue opportunity does not end when the detox protocol </w:t>
      </w:r>
      <w:proofErr w:type="gramStart"/>
      <w:r>
        <w:rPr>
          <w:color w:val="333333"/>
        </w:rPr>
        <w:t>completes</w:t>
      </w:r>
      <w:proofErr w:type="gramEnd"/>
      <w:r>
        <w:rPr>
          <w:color w:val="333333"/>
        </w:rPr>
        <w:t>. The structured aftercare program creates an extended revenue stream:</w:t>
      </w:r>
    </w:p>
    <w:p w14:paraId="780F926D" w14:textId="77777777" w:rsidR="00065694" w:rsidRDefault="00065694">
      <w:pPr>
        <w:spacing w:after="40"/>
      </w:pPr>
    </w:p>
    <w:p w14:paraId="087169EB" w14:textId="77777777" w:rsidR="00065694" w:rsidRDefault="00000000">
      <w:pPr>
        <w:spacing w:after="160"/>
      </w:pPr>
      <w:r>
        <w:rPr>
          <w:b/>
          <w:bCs/>
          <w:color w:val="333333"/>
        </w:rPr>
        <w:t xml:space="preserve">Phase 1 — Post-Discharge (6–12 months): </w:t>
      </w:r>
      <w:r>
        <w:rPr>
          <w:color w:val="333333"/>
        </w:rPr>
        <w:t>Patients return 2x per month for monitoring and support. Reimbursement: $200–$285 per visit.</w:t>
      </w:r>
    </w:p>
    <w:p w14:paraId="01F91BD7" w14:textId="77777777" w:rsidR="00065694" w:rsidRDefault="00000000">
      <w:pPr>
        <w:spacing w:after="160"/>
      </w:pPr>
      <w:r>
        <w:rPr>
          <w:b/>
          <w:bCs/>
          <w:color w:val="333333"/>
        </w:rPr>
        <w:t xml:space="preserve">Phase 2 — Long-Term Maintenance (12 additional months): </w:t>
      </w:r>
      <w:r>
        <w:rPr>
          <w:color w:val="333333"/>
        </w:rPr>
        <w:t>Patients return 1x per month. Same reimbursement range.</w:t>
      </w:r>
    </w:p>
    <w:p w14:paraId="4CADB4D0" w14:textId="77777777" w:rsidR="00065694" w:rsidRDefault="00065694">
      <w:pPr>
        <w:spacing w:after="40"/>
      </w:pPr>
    </w:p>
    <w:p w14:paraId="3EFE61C3" w14:textId="77777777" w:rsidR="00065694" w:rsidRDefault="00000000">
      <w:pPr>
        <w:spacing w:after="160"/>
      </w:pPr>
      <w:r>
        <w:rPr>
          <w:color w:val="333333"/>
        </w:rPr>
        <w:t>For a program running 10 patients per week through detox, the aftercare program creates a compounding base of follow-up patients generating predictable monthly revenue for up to two years after each patient’s detox completion. This is residual income that requires minimal staff time and zero new patient acquisition.</w:t>
      </w:r>
    </w:p>
    <w:p w14:paraId="3FF94A49" w14:textId="77777777" w:rsidR="00065694" w:rsidRDefault="00065694">
      <w:pPr>
        <w:spacing w:after="80"/>
      </w:pPr>
    </w:p>
    <w:p w14:paraId="59A3A131" w14:textId="77777777" w:rsidR="00065694" w:rsidRDefault="00000000">
      <w:pPr>
        <w:spacing w:after="160"/>
      </w:pPr>
      <w:r>
        <w:rPr>
          <w:color w:val="333333"/>
        </w:rPr>
        <w:t xml:space="preserve">The point is not to memorize </w:t>
      </w:r>
      <w:proofErr w:type="gramStart"/>
      <w:r>
        <w:rPr>
          <w:color w:val="333333"/>
        </w:rPr>
        <w:t>the math</w:t>
      </w:r>
      <w:proofErr w:type="gramEnd"/>
      <w:r>
        <w:rPr>
          <w:color w:val="333333"/>
        </w:rPr>
        <w:t>. It is to recognize how little volume it takes for ambulatory detox to materially change your P&amp;L — and how the revenue compounds over time through aftercare.</w:t>
      </w:r>
    </w:p>
    <w:p w14:paraId="756BCA5C" w14:textId="77777777" w:rsidR="00065694" w:rsidRDefault="00000000">
      <w:r>
        <w:br w:type="page"/>
      </w:r>
    </w:p>
    <w:p w14:paraId="433F2B66" w14:textId="77777777" w:rsidR="00065694" w:rsidRDefault="00000000">
      <w:pPr>
        <w:pStyle w:val="Heading1"/>
      </w:pPr>
      <w:r>
        <w:lastRenderedPageBreak/>
        <w:t>THE REAL CONSTRAINT: OPERATIONAL AND BILLING COMPLEXITY</w:t>
      </w:r>
    </w:p>
    <w:p w14:paraId="6970CB2F" w14:textId="77777777" w:rsidR="00065694" w:rsidRDefault="00000000">
      <w:pPr>
        <w:spacing w:after="160"/>
      </w:pPr>
      <w:r>
        <w:rPr>
          <w:color w:val="333333"/>
        </w:rPr>
        <w:t>If ambulatory detox is this compelling economically, why isn’t everyone doing it?</w:t>
      </w:r>
    </w:p>
    <w:p w14:paraId="272FAFD4" w14:textId="77777777" w:rsidR="00065694" w:rsidRDefault="00000000">
      <w:pPr>
        <w:spacing w:after="160"/>
      </w:pPr>
      <w:r>
        <w:rPr>
          <w:color w:val="333333"/>
        </w:rPr>
        <w:t>Because the clinical model is only half of what makes it work. The other half — the operational infrastructure — is where programs fail.</w:t>
      </w:r>
    </w:p>
    <w:p w14:paraId="6B79251D" w14:textId="77777777" w:rsidR="00065694" w:rsidRDefault="00065694">
      <w:pPr>
        <w:spacing w:after="80"/>
      </w:pPr>
    </w:p>
    <w:p w14:paraId="2191C638" w14:textId="77777777" w:rsidR="00065694" w:rsidRDefault="00000000">
      <w:pPr>
        <w:pStyle w:val="Heading2"/>
      </w:pPr>
      <w:r>
        <w:t>What a Functioning Ambulatory Detox Line Actually Requires</w:t>
      </w:r>
    </w:p>
    <w:p w14:paraId="706E0F68" w14:textId="77777777" w:rsidR="00065694" w:rsidRDefault="00000000">
      <w:pPr>
        <w:pStyle w:val="ListParagraph"/>
        <w:numPr>
          <w:ilvl w:val="0"/>
          <w:numId w:val="4"/>
        </w:numPr>
        <w:spacing w:after="80"/>
      </w:pPr>
      <w:r>
        <w:rPr>
          <w:color w:val="333333"/>
        </w:rPr>
        <w:t>Standard operating procedures for every clinical and administrative role</w:t>
      </w:r>
    </w:p>
    <w:p w14:paraId="49520A68" w14:textId="77777777" w:rsidR="00065694" w:rsidRDefault="00000000">
      <w:pPr>
        <w:pStyle w:val="ListParagraph"/>
        <w:numPr>
          <w:ilvl w:val="0"/>
          <w:numId w:val="4"/>
        </w:numPr>
        <w:spacing w:after="80"/>
      </w:pPr>
      <w:r>
        <w:rPr>
          <w:color w:val="333333"/>
        </w:rPr>
        <w:t>A structured onboarding and training program (clinical, admissions, administrative)</w:t>
      </w:r>
    </w:p>
    <w:p w14:paraId="6B661AE9" w14:textId="77777777" w:rsidR="00065694" w:rsidRDefault="00000000">
      <w:pPr>
        <w:pStyle w:val="ListParagraph"/>
        <w:numPr>
          <w:ilvl w:val="0"/>
          <w:numId w:val="4"/>
        </w:numPr>
        <w:spacing w:after="80"/>
      </w:pPr>
      <w:r>
        <w:rPr>
          <w:color w:val="333333"/>
        </w:rPr>
        <w:t xml:space="preserve">Financial dashboards and KPIs that leadership can </w:t>
      </w:r>
      <w:proofErr w:type="gramStart"/>
      <w:r>
        <w:rPr>
          <w:color w:val="333333"/>
        </w:rPr>
        <w:t>actually trust</w:t>
      </w:r>
      <w:proofErr w:type="gramEnd"/>
    </w:p>
    <w:p w14:paraId="47234266" w14:textId="77777777" w:rsidR="00065694" w:rsidRDefault="00000000">
      <w:pPr>
        <w:pStyle w:val="ListParagraph"/>
        <w:numPr>
          <w:ilvl w:val="0"/>
          <w:numId w:val="4"/>
        </w:numPr>
        <w:spacing w:after="80"/>
      </w:pPr>
      <w:r>
        <w:rPr>
          <w:color w:val="333333"/>
        </w:rPr>
        <w:t>Billing oversight: contracted rates vs. actual paid, underpayment tracking, claims aging, SCA management</w:t>
      </w:r>
    </w:p>
    <w:p w14:paraId="2EB7104F" w14:textId="77777777" w:rsidR="00065694" w:rsidRDefault="00000000">
      <w:pPr>
        <w:pStyle w:val="ListParagraph"/>
        <w:numPr>
          <w:ilvl w:val="0"/>
          <w:numId w:val="4"/>
        </w:numPr>
        <w:spacing w:after="80"/>
      </w:pPr>
      <w:r>
        <w:rPr>
          <w:color w:val="333333"/>
        </w:rPr>
        <w:t>Protocol compliance monitoring: are daily check-ins happening? Are forms being completed?</w:t>
      </w:r>
    </w:p>
    <w:p w14:paraId="3FF96497" w14:textId="77777777" w:rsidR="00065694" w:rsidRDefault="00000000">
      <w:pPr>
        <w:pStyle w:val="ListParagraph"/>
        <w:numPr>
          <w:ilvl w:val="0"/>
          <w:numId w:val="4"/>
        </w:numPr>
        <w:spacing w:after="80"/>
      </w:pPr>
      <w:r>
        <w:rPr>
          <w:color w:val="333333"/>
        </w:rPr>
        <w:t xml:space="preserve">Audit-ready documentation </w:t>
      </w:r>
      <w:proofErr w:type="gramStart"/>
      <w:r>
        <w:rPr>
          <w:color w:val="333333"/>
        </w:rPr>
        <w:t>at all times</w:t>
      </w:r>
      <w:proofErr w:type="gramEnd"/>
      <w:r>
        <w:rPr>
          <w:color w:val="333333"/>
        </w:rPr>
        <w:t xml:space="preserve"> — not just when an auditor shows up</w:t>
      </w:r>
    </w:p>
    <w:p w14:paraId="5D94D00B" w14:textId="77777777" w:rsidR="00065694" w:rsidRDefault="00065694">
      <w:pPr>
        <w:spacing w:after="80"/>
      </w:pPr>
    </w:p>
    <w:p w14:paraId="30FE1202" w14:textId="77777777" w:rsidR="00065694" w:rsidRDefault="00000000">
      <w:pPr>
        <w:spacing w:after="160"/>
      </w:pPr>
      <w:r>
        <w:rPr>
          <w:color w:val="333333"/>
        </w:rPr>
        <w:t>Historically, this operational burden has killed 20–25% of programs that were otherwise ready to launch. The owners wanted to do it. They could afford it. But when they went home and thought about all the tracking, reporting, and billing infrastructure they would need to build and maintain, they walked away.</w:t>
      </w:r>
    </w:p>
    <w:p w14:paraId="1E05B2AA" w14:textId="77777777" w:rsidR="00065694" w:rsidRDefault="00065694">
      <w:pPr>
        <w:spacing w:after="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200" w:type="dxa"/>
          <w:bottom w:w="120" w:type="dxa"/>
          <w:right w:w="200" w:type="dxa"/>
        </w:tblCellMar>
        <w:tblLook w:val="04A0" w:firstRow="1" w:lastRow="0" w:firstColumn="1" w:lastColumn="0" w:noHBand="0" w:noVBand="1"/>
      </w:tblPr>
      <w:tblGrid>
        <w:gridCol w:w="9013"/>
      </w:tblGrid>
      <w:tr w:rsidR="00065694" w14:paraId="193B5A69" w14:textId="77777777">
        <w:tc>
          <w:tcPr>
            <w:tcW w:w="9360" w:type="dxa"/>
            <w:tcBorders>
              <w:top w:val="single" w:sz="2" w:space="0" w:color="C4A74E"/>
              <w:left w:val="single" w:sz="8" w:space="0" w:color="C4A74E"/>
              <w:bottom w:val="single" w:sz="2" w:space="0" w:color="C4A74E"/>
              <w:right w:val="single" w:sz="2" w:space="0" w:color="C4A74E"/>
            </w:tcBorders>
            <w:shd w:val="clear" w:color="auto" w:fill="F7F4EE"/>
          </w:tcPr>
          <w:p w14:paraId="5BA3F8BA" w14:textId="77777777" w:rsidR="00065694" w:rsidRDefault="00000000">
            <w:pPr>
              <w:spacing w:after="80"/>
            </w:pPr>
            <w:r>
              <w:rPr>
                <w:b/>
                <w:bCs/>
                <w:color w:val="1A3461"/>
              </w:rPr>
              <w:t xml:space="preserve">This is not a cost objection. It is a </w:t>
            </w:r>
            <w:proofErr w:type="gramStart"/>
            <w:r>
              <w:rPr>
                <w:b/>
                <w:bCs/>
                <w:color w:val="1A3461"/>
              </w:rPr>
              <w:t>capability fear</w:t>
            </w:r>
            <w:proofErr w:type="gramEnd"/>
            <w:r>
              <w:rPr>
                <w:b/>
                <w:bCs/>
                <w:color w:val="1A3461"/>
              </w:rPr>
              <w:t>.</w:t>
            </w:r>
          </w:p>
          <w:p w14:paraId="3C89D0A9" w14:textId="77777777" w:rsidR="00065694" w:rsidRDefault="00000000">
            <w:pPr>
              <w:spacing w:after="80"/>
            </w:pPr>
            <w:r>
              <w:rPr>
                <w:color w:val="1A3461"/>
              </w:rPr>
              <w:t>The question is not "Can we afford it?" It is "Can we actually run this without breaking the team?"</w:t>
            </w:r>
          </w:p>
          <w:p w14:paraId="0E16BC1D" w14:textId="77777777" w:rsidR="00065694" w:rsidRDefault="00000000">
            <w:pPr>
              <w:spacing w:after="80"/>
            </w:pPr>
            <w:r>
              <w:rPr>
                <w:color w:val="1A3461"/>
              </w:rPr>
              <w:t>The AI-backed operating system described in the next section exists specifically to answer that question.</w:t>
            </w:r>
          </w:p>
        </w:tc>
      </w:tr>
    </w:tbl>
    <w:p w14:paraId="150838A0" w14:textId="77777777" w:rsidR="00065694" w:rsidRDefault="00000000">
      <w:r>
        <w:br w:type="page"/>
      </w:r>
    </w:p>
    <w:p w14:paraId="77711ABA" w14:textId="77777777" w:rsidR="00065694" w:rsidRDefault="00000000">
      <w:pPr>
        <w:pStyle w:val="Heading1"/>
      </w:pPr>
      <w:r>
        <w:lastRenderedPageBreak/>
        <w:t>THE MODEL: AMBULATORY DETOX + AI-BACKED OPERATING SYSTEM</w:t>
      </w:r>
    </w:p>
    <w:p w14:paraId="491B5226" w14:textId="77777777" w:rsidR="00065694" w:rsidRDefault="00065694">
      <w:pPr>
        <w:spacing w:after="40"/>
      </w:pPr>
    </w:p>
    <w:p w14:paraId="382B49F5" w14:textId="77777777" w:rsidR="00065694" w:rsidRDefault="00000000">
      <w:pPr>
        <w:pStyle w:val="Heading2"/>
      </w:pPr>
      <w:proofErr w:type="gramStart"/>
      <w:r>
        <w:t>6.1  Clinical</w:t>
      </w:r>
      <w:proofErr w:type="gramEnd"/>
      <w:r>
        <w:t xml:space="preserve"> and Business Model</w:t>
      </w:r>
    </w:p>
    <w:p w14:paraId="6FC100C9" w14:textId="77777777" w:rsidR="00065694" w:rsidRDefault="00000000">
      <w:pPr>
        <w:spacing w:after="160"/>
      </w:pPr>
      <w:r>
        <w:rPr>
          <w:color w:val="333333"/>
        </w:rPr>
        <w:t>The ambulatory detox protocol is ASAM-aligned, structured, and designed so that insurance companies not only reimburse it but have actively expressed support for the approach. Unlike typical ambulatory detox programs — which often amount to a patient coming in, getting put on Librium, and being billed $150–$280 per day — this protocol involves daily structured care, detailed clinical documentation, and a 20–</w:t>
      </w:r>
      <w:proofErr w:type="gramStart"/>
      <w:r>
        <w:rPr>
          <w:color w:val="333333"/>
        </w:rPr>
        <w:t>30 day</w:t>
      </w:r>
      <w:proofErr w:type="gramEnd"/>
      <w:r>
        <w:rPr>
          <w:color w:val="333333"/>
        </w:rPr>
        <w:t xml:space="preserve"> engagement window.</w:t>
      </w:r>
    </w:p>
    <w:p w14:paraId="5A48157B" w14:textId="77777777" w:rsidR="00065694" w:rsidRDefault="00065694">
      <w:pPr>
        <w:spacing w:after="40"/>
      </w:pPr>
    </w:p>
    <w:p w14:paraId="1A6CF045" w14:textId="77777777" w:rsidR="00065694" w:rsidRDefault="00000000">
      <w:pPr>
        <w:spacing w:after="160"/>
      </w:pPr>
      <w:r>
        <w:rPr>
          <w:b/>
          <w:bCs/>
          <w:color w:val="333333"/>
        </w:rPr>
        <w:t xml:space="preserve">Minimum space required: </w:t>
      </w:r>
      <w:r>
        <w:rPr>
          <w:color w:val="333333"/>
        </w:rPr>
        <w:t>2 offices (patient consultations and practitioner visits), 1 waiting room, 1 bathroom. Most centers already have this.</w:t>
      </w:r>
    </w:p>
    <w:p w14:paraId="604A3FB6" w14:textId="77777777" w:rsidR="00065694" w:rsidRDefault="00000000">
      <w:pPr>
        <w:spacing w:after="160"/>
      </w:pPr>
      <w:r>
        <w:rPr>
          <w:b/>
          <w:bCs/>
          <w:color w:val="333333"/>
        </w:rPr>
        <w:t xml:space="preserve">Minimum staff required: </w:t>
      </w:r>
      <w:r>
        <w:rPr>
          <w:color w:val="333333"/>
        </w:rPr>
        <w:t>Part-time doctor, part-time nurse practitioner, part-time RN or LPN, part-time therapist. Start with these minimums and scale up as patient volume grows.</w:t>
      </w:r>
    </w:p>
    <w:p w14:paraId="1B7B0F3F" w14:textId="77777777" w:rsidR="00065694" w:rsidRDefault="00065694">
      <w:pPr>
        <w:spacing w:after="40"/>
      </w:pPr>
    </w:p>
    <w:p w14:paraId="5B04AD77" w14:textId="77777777" w:rsidR="00065694" w:rsidRDefault="00000000">
      <w:pPr>
        <w:pStyle w:val="Heading2"/>
      </w:pPr>
      <w:proofErr w:type="gramStart"/>
      <w:r>
        <w:t>Setup</w:t>
      </w:r>
      <w:proofErr w:type="gramEnd"/>
      <w:r>
        <w:t xml:space="preserve"> Cost Comparison</w:t>
      </w:r>
    </w:p>
    <w:p w14:paraId="5D7F964E" w14:textId="77777777" w:rsidR="00065694" w:rsidRDefault="00065694">
      <w:pPr>
        <w:spacing w:after="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20" w:type="dxa"/>
          <w:bottom w:w="60" w:type="dxa"/>
          <w:right w:w="120" w:type="dxa"/>
        </w:tblCellMar>
        <w:tblLook w:val="04A0" w:firstRow="1" w:lastRow="0" w:firstColumn="1" w:lastColumn="0" w:noHBand="0" w:noVBand="1"/>
      </w:tblPr>
      <w:tblGrid>
        <w:gridCol w:w="3009"/>
        <w:gridCol w:w="3005"/>
        <w:gridCol w:w="3010"/>
      </w:tblGrid>
      <w:tr w:rsidR="00065694" w14:paraId="6BD19281" w14:textId="77777777">
        <w:trPr>
          <w:tblHeader/>
        </w:trPr>
        <w:tc>
          <w:tcPr>
            <w:tcW w:w="3120" w:type="dxa"/>
            <w:tcBorders>
              <w:top w:val="single" w:sz="1" w:space="0" w:color="CCCCCC"/>
              <w:left w:val="single" w:sz="1" w:space="0" w:color="CCCCCC"/>
              <w:bottom w:val="single" w:sz="1" w:space="0" w:color="CCCCCC"/>
              <w:right w:val="single" w:sz="1" w:space="0" w:color="CCCCCC"/>
            </w:tcBorders>
            <w:shd w:val="clear" w:color="auto" w:fill="1A3461"/>
            <w:vAlign w:val="center"/>
          </w:tcPr>
          <w:p w14:paraId="02B613A5" w14:textId="77777777" w:rsidR="00065694" w:rsidRDefault="00000000">
            <w:pPr>
              <w:jc w:val="center"/>
            </w:pPr>
            <w:r>
              <w:rPr>
                <w:b/>
                <w:bCs/>
                <w:color w:val="FFFFFF"/>
                <w:sz w:val="20"/>
                <w:szCs w:val="20"/>
              </w:rPr>
              <w:t>Factor</w:t>
            </w:r>
          </w:p>
        </w:tc>
        <w:tc>
          <w:tcPr>
            <w:tcW w:w="3120" w:type="dxa"/>
            <w:tcBorders>
              <w:top w:val="single" w:sz="1" w:space="0" w:color="CCCCCC"/>
              <w:left w:val="single" w:sz="1" w:space="0" w:color="CCCCCC"/>
              <w:bottom w:val="single" w:sz="1" w:space="0" w:color="CCCCCC"/>
              <w:right w:val="single" w:sz="1" w:space="0" w:color="CCCCCC"/>
            </w:tcBorders>
            <w:shd w:val="clear" w:color="auto" w:fill="1A3461"/>
            <w:vAlign w:val="center"/>
          </w:tcPr>
          <w:p w14:paraId="1E1C443C" w14:textId="77777777" w:rsidR="00065694" w:rsidRDefault="00000000">
            <w:pPr>
              <w:jc w:val="center"/>
            </w:pPr>
            <w:r>
              <w:rPr>
                <w:b/>
                <w:bCs/>
                <w:color w:val="FFFFFF"/>
                <w:sz w:val="20"/>
                <w:szCs w:val="20"/>
              </w:rPr>
              <w:t>Traditional Medical Detox</w:t>
            </w:r>
          </w:p>
        </w:tc>
        <w:tc>
          <w:tcPr>
            <w:tcW w:w="3120" w:type="dxa"/>
            <w:tcBorders>
              <w:top w:val="single" w:sz="1" w:space="0" w:color="CCCCCC"/>
              <w:left w:val="single" w:sz="1" w:space="0" w:color="CCCCCC"/>
              <w:bottom w:val="single" w:sz="1" w:space="0" w:color="CCCCCC"/>
              <w:right w:val="single" w:sz="1" w:space="0" w:color="CCCCCC"/>
            </w:tcBorders>
            <w:shd w:val="clear" w:color="auto" w:fill="1A3461"/>
            <w:vAlign w:val="center"/>
          </w:tcPr>
          <w:p w14:paraId="3D727A7B" w14:textId="77777777" w:rsidR="00065694" w:rsidRDefault="00000000">
            <w:pPr>
              <w:jc w:val="center"/>
            </w:pPr>
            <w:r>
              <w:rPr>
                <w:b/>
                <w:bCs/>
                <w:color w:val="FFFFFF"/>
                <w:sz w:val="20"/>
                <w:szCs w:val="20"/>
              </w:rPr>
              <w:t>Ambulatory Detox</w:t>
            </w:r>
          </w:p>
        </w:tc>
      </w:tr>
      <w:tr w:rsidR="00065694" w14:paraId="486BC581" w14:textId="77777777">
        <w:tc>
          <w:tcPr>
            <w:tcW w:w="3120" w:type="dxa"/>
            <w:tcBorders>
              <w:top w:val="single" w:sz="1" w:space="0" w:color="CCCCCC"/>
              <w:left w:val="single" w:sz="1" w:space="0" w:color="CCCCCC"/>
              <w:bottom w:val="single" w:sz="1" w:space="0" w:color="CCCCCC"/>
              <w:right w:val="single" w:sz="1" w:space="0" w:color="CCCCCC"/>
            </w:tcBorders>
          </w:tcPr>
          <w:p w14:paraId="61EE4630" w14:textId="77777777" w:rsidR="00065694" w:rsidRDefault="00000000">
            <w:pPr>
              <w:spacing w:before="50" w:after="50"/>
            </w:pPr>
            <w:r>
              <w:rPr>
                <w:b/>
                <w:bCs/>
                <w:color w:val="333333"/>
                <w:sz w:val="20"/>
                <w:szCs w:val="20"/>
              </w:rPr>
              <w:t>Setup Cost</w:t>
            </w:r>
          </w:p>
        </w:tc>
        <w:tc>
          <w:tcPr>
            <w:tcW w:w="3120" w:type="dxa"/>
            <w:tcBorders>
              <w:top w:val="single" w:sz="1" w:space="0" w:color="CCCCCC"/>
              <w:left w:val="single" w:sz="1" w:space="0" w:color="CCCCCC"/>
              <w:bottom w:val="single" w:sz="1" w:space="0" w:color="CCCCCC"/>
              <w:right w:val="single" w:sz="1" w:space="0" w:color="CCCCCC"/>
            </w:tcBorders>
          </w:tcPr>
          <w:p w14:paraId="0D078BDD" w14:textId="77777777" w:rsidR="00065694" w:rsidRDefault="00000000">
            <w:pPr>
              <w:spacing w:before="50" w:after="50"/>
            </w:pPr>
            <w:r>
              <w:rPr>
                <w:color w:val="333333"/>
                <w:sz w:val="20"/>
                <w:szCs w:val="20"/>
              </w:rPr>
              <w:t>$250,000–$500,000+</w:t>
            </w:r>
          </w:p>
        </w:tc>
        <w:tc>
          <w:tcPr>
            <w:tcW w:w="3120" w:type="dxa"/>
            <w:tcBorders>
              <w:top w:val="single" w:sz="1" w:space="0" w:color="CCCCCC"/>
              <w:left w:val="single" w:sz="1" w:space="0" w:color="CCCCCC"/>
              <w:bottom w:val="single" w:sz="1" w:space="0" w:color="CCCCCC"/>
              <w:right w:val="single" w:sz="1" w:space="0" w:color="CCCCCC"/>
            </w:tcBorders>
          </w:tcPr>
          <w:p w14:paraId="758D4A64" w14:textId="77777777" w:rsidR="00065694" w:rsidRDefault="00000000">
            <w:pPr>
              <w:spacing w:before="50" w:after="50"/>
            </w:pPr>
            <w:r>
              <w:rPr>
                <w:color w:val="333333"/>
                <w:sz w:val="20"/>
                <w:szCs w:val="20"/>
              </w:rPr>
              <w:t>$0–$5,000</w:t>
            </w:r>
          </w:p>
        </w:tc>
      </w:tr>
      <w:tr w:rsidR="00065694" w14:paraId="596106B0" w14:textId="77777777">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6984C458" w14:textId="77777777" w:rsidR="00065694" w:rsidRDefault="00000000">
            <w:pPr>
              <w:spacing w:before="50" w:after="50"/>
            </w:pPr>
            <w:r>
              <w:rPr>
                <w:b/>
                <w:bCs/>
                <w:color w:val="333333"/>
                <w:sz w:val="20"/>
                <w:szCs w:val="20"/>
              </w:rPr>
              <w:t>Monthly Overhead</w:t>
            </w:r>
          </w:p>
        </w:tc>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256D660C" w14:textId="77777777" w:rsidR="00065694" w:rsidRDefault="00000000">
            <w:pPr>
              <w:spacing w:before="50" w:after="50"/>
            </w:pPr>
            <w:r>
              <w:rPr>
                <w:color w:val="333333"/>
                <w:sz w:val="20"/>
                <w:szCs w:val="20"/>
              </w:rPr>
              <w:t>$39,000–$82,000</w:t>
            </w:r>
          </w:p>
        </w:tc>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70F09A6C" w14:textId="77777777" w:rsidR="00065694" w:rsidRDefault="00000000">
            <w:pPr>
              <w:spacing w:before="50" w:after="50"/>
            </w:pPr>
            <w:r>
              <w:rPr>
                <w:color w:val="333333"/>
                <w:sz w:val="20"/>
                <w:szCs w:val="20"/>
              </w:rPr>
              <w:t>$5,500–$15,500</w:t>
            </w:r>
          </w:p>
        </w:tc>
      </w:tr>
      <w:tr w:rsidR="00065694" w14:paraId="5B66B48D" w14:textId="77777777">
        <w:tc>
          <w:tcPr>
            <w:tcW w:w="3120" w:type="dxa"/>
            <w:tcBorders>
              <w:top w:val="single" w:sz="1" w:space="0" w:color="CCCCCC"/>
              <w:left w:val="single" w:sz="1" w:space="0" w:color="CCCCCC"/>
              <w:bottom w:val="single" w:sz="1" w:space="0" w:color="CCCCCC"/>
              <w:right w:val="single" w:sz="1" w:space="0" w:color="CCCCCC"/>
            </w:tcBorders>
          </w:tcPr>
          <w:p w14:paraId="7A4A65AD" w14:textId="77777777" w:rsidR="00065694" w:rsidRDefault="00000000">
            <w:pPr>
              <w:spacing w:before="50" w:after="50"/>
            </w:pPr>
            <w:r>
              <w:rPr>
                <w:b/>
                <w:bCs/>
                <w:color w:val="333333"/>
                <w:sz w:val="20"/>
                <w:szCs w:val="20"/>
              </w:rPr>
              <w:t>Staffing Model</w:t>
            </w:r>
          </w:p>
        </w:tc>
        <w:tc>
          <w:tcPr>
            <w:tcW w:w="3120" w:type="dxa"/>
            <w:tcBorders>
              <w:top w:val="single" w:sz="1" w:space="0" w:color="CCCCCC"/>
              <w:left w:val="single" w:sz="1" w:space="0" w:color="CCCCCC"/>
              <w:bottom w:val="single" w:sz="1" w:space="0" w:color="CCCCCC"/>
              <w:right w:val="single" w:sz="1" w:space="0" w:color="CCCCCC"/>
            </w:tcBorders>
          </w:tcPr>
          <w:p w14:paraId="132B9297" w14:textId="77777777" w:rsidR="00065694" w:rsidRDefault="00000000">
            <w:pPr>
              <w:spacing w:before="50" w:after="50"/>
            </w:pPr>
            <w:r>
              <w:rPr>
                <w:color w:val="333333"/>
                <w:sz w:val="20"/>
                <w:szCs w:val="20"/>
              </w:rPr>
              <w:t>24/7 nurses + physicians</w:t>
            </w:r>
          </w:p>
        </w:tc>
        <w:tc>
          <w:tcPr>
            <w:tcW w:w="3120" w:type="dxa"/>
            <w:tcBorders>
              <w:top w:val="single" w:sz="1" w:space="0" w:color="CCCCCC"/>
              <w:left w:val="single" w:sz="1" w:space="0" w:color="CCCCCC"/>
              <w:bottom w:val="single" w:sz="1" w:space="0" w:color="CCCCCC"/>
              <w:right w:val="single" w:sz="1" w:space="0" w:color="CCCCCC"/>
            </w:tcBorders>
          </w:tcPr>
          <w:p w14:paraId="09A35E56" w14:textId="77777777" w:rsidR="00065694" w:rsidRDefault="00000000">
            <w:pPr>
              <w:spacing w:before="50" w:after="50"/>
            </w:pPr>
            <w:r>
              <w:rPr>
                <w:color w:val="333333"/>
                <w:sz w:val="20"/>
                <w:szCs w:val="20"/>
              </w:rPr>
              <w:t>Part-time doctor, NP, RN, therapist</w:t>
            </w:r>
          </w:p>
        </w:tc>
      </w:tr>
      <w:tr w:rsidR="00065694" w14:paraId="75A6B5B1" w14:textId="77777777">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0E295E9E" w14:textId="77777777" w:rsidR="00065694" w:rsidRDefault="00000000">
            <w:pPr>
              <w:spacing w:before="50" w:after="50"/>
            </w:pPr>
            <w:r>
              <w:rPr>
                <w:b/>
                <w:bCs/>
                <w:color w:val="333333"/>
                <w:sz w:val="20"/>
                <w:szCs w:val="20"/>
              </w:rPr>
              <w:t>Facility Required</w:t>
            </w:r>
          </w:p>
        </w:tc>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641F7B42" w14:textId="77777777" w:rsidR="00065694" w:rsidRDefault="00000000">
            <w:pPr>
              <w:spacing w:before="50" w:after="50"/>
            </w:pPr>
            <w:r>
              <w:rPr>
                <w:color w:val="333333"/>
                <w:sz w:val="20"/>
                <w:szCs w:val="20"/>
              </w:rPr>
              <w:t>12+ bed medical-grade facility</w:t>
            </w:r>
          </w:p>
        </w:tc>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26C88518" w14:textId="77777777" w:rsidR="00065694" w:rsidRDefault="00000000">
            <w:pPr>
              <w:spacing w:before="50" w:after="50"/>
            </w:pPr>
            <w:r>
              <w:rPr>
                <w:color w:val="333333"/>
                <w:sz w:val="20"/>
                <w:szCs w:val="20"/>
              </w:rPr>
              <w:t>2 offices, waiting room, bathroom</w:t>
            </w:r>
          </w:p>
        </w:tc>
      </w:tr>
      <w:tr w:rsidR="00065694" w14:paraId="0B934613" w14:textId="77777777">
        <w:tc>
          <w:tcPr>
            <w:tcW w:w="3120" w:type="dxa"/>
            <w:tcBorders>
              <w:top w:val="single" w:sz="1" w:space="0" w:color="CCCCCC"/>
              <w:left w:val="single" w:sz="1" w:space="0" w:color="CCCCCC"/>
              <w:bottom w:val="single" w:sz="1" w:space="0" w:color="CCCCCC"/>
              <w:right w:val="single" w:sz="1" w:space="0" w:color="CCCCCC"/>
            </w:tcBorders>
          </w:tcPr>
          <w:p w14:paraId="17954E8D" w14:textId="77777777" w:rsidR="00065694" w:rsidRDefault="00000000">
            <w:pPr>
              <w:spacing w:before="50" w:after="50"/>
            </w:pPr>
            <w:r>
              <w:rPr>
                <w:b/>
                <w:bCs/>
                <w:color w:val="333333"/>
                <w:sz w:val="20"/>
                <w:szCs w:val="20"/>
              </w:rPr>
              <w:t>Equipment</w:t>
            </w:r>
          </w:p>
        </w:tc>
        <w:tc>
          <w:tcPr>
            <w:tcW w:w="3120" w:type="dxa"/>
            <w:tcBorders>
              <w:top w:val="single" w:sz="1" w:space="0" w:color="CCCCCC"/>
              <w:left w:val="single" w:sz="1" w:space="0" w:color="CCCCCC"/>
              <w:bottom w:val="single" w:sz="1" w:space="0" w:color="CCCCCC"/>
              <w:right w:val="single" w:sz="1" w:space="0" w:color="CCCCCC"/>
            </w:tcBorders>
          </w:tcPr>
          <w:p w14:paraId="55F32574" w14:textId="77777777" w:rsidR="00065694" w:rsidRDefault="00000000">
            <w:pPr>
              <w:spacing w:before="50" w:after="50"/>
            </w:pPr>
            <w:r>
              <w:rPr>
                <w:color w:val="333333"/>
                <w:sz w:val="20"/>
                <w:szCs w:val="20"/>
              </w:rPr>
              <w:t>$50K–$120K+ (oxygen, crash cart, beds)</w:t>
            </w:r>
          </w:p>
        </w:tc>
        <w:tc>
          <w:tcPr>
            <w:tcW w:w="3120" w:type="dxa"/>
            <w:tcBorders>
              <w:top w:val="single" w:sz="1" w:space="0" w:color="CCCCCC"/>
              <w:left w:val="single" w:sz="1" w:space="0" w:color="CCCCCC"/>
              <w:bottom w:val="single" w:sz="1" w:space="0" w:color="CCCCCC"/>
              <w:right w:val="single" w:sz="1" w:space="0" w:color="CCCCCC"/>
            </w:tcBorders>
          </w:tcPr>
          <w:p w14:paraId="6BF0AFC0" w14:textId="77777777" w:rsidR="00065694" w:rsidRDefault="00000000">
            <w:pPr>
              <w:spacing w:before="50" w:after="50"/>
            </w:pPr>
            <w:r>
              <w:rPr>
                <w:color w:val="333333"/>
                <w:sz w:val="20"/>
                <w:szCs w:val="20"/>
              </w:rPr>
              <w:t>Standard office furniture</w:t>
            </w:r>
          </w:p>
        </w:tc>
      </w:tr>
      <w:tr w:rsidR="00065694" w14:paraId="51E2691E" w14:textId="77777777">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2BF3FAFB" w14:textId="77777777" w:rsidR="00065694" w:rsidRDefault="00000000">
            <w:pPr>
              <w:spacing w:before="50" w:after="50"/>
            </w:pPr>
            <w:r>
              <w:rPr>
                <w:b/>
                <w:bCs/>
                <w:color w:val="333333"/>
                <w:sz w:val="20"/>
                <w:szCs w:val="20"/>
              </w:rPr>
              <w:t>Profitability</w:t>
            </w:r>
          </w:p>
        </w:tc>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49F02BE0" w14:textId="77777777" w:rsidR="00065694" w:rsidRDefault="00000000">
            <w:pPr>
              <w:spacing w:before="50" w:after="50"/>
            </w:pPr>
            <w:r>
              <w:rPr>
                <w:color w:val="333333"/>
                <w:sz w:val="20"/>
                <w:szCs w:val="20"/>
              </w:rPr>
              <w:t>Break-even at best</w:t>
            </w:r>
          </w:p>
        </w:tc>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1DD00F29" w14:textId="77777777" w:rsidR="00065694" w:rsidRDefault="00000000">
            <w:pPr>
              <w:spacing w:before="50" w:after="50"/>
            </w:pPr>
            <w:r>
              <w:rPr>
                <w:color w:val="333333"/>
                <w:sz w:val="20"/>
                <w:szCs w:val="20"/>
              </w:rPr>
              <w:t>High margin from month one</w:t>
            </w:r>
          </w:p>
        </w:tc>
      </w:tr>
    </w:tbl>
    <w:p w14:paraId="75E779D7" w14:textId="77777777" w:rsidR="00065694" w:rsidRDefault="00065694">
      <w:pPr>
        <w:spacing w:after="120"/>
      </w:pPr>
    </w:p>
    <w:p w14:paraId="4C3A140E" w14:textId="77777777" w:rsidR="00065694" w:rsidRDefault="00000000">
      <w:pPr>
        <w:spacing w:after="160"/>
      </w:pPr>
      <w:r>
        <w:rPr>
          <w:b/>
          <w:bCs/>
          <w:color w:val="333333"/>
        </w:rPr>
        <w:t xml:space="preserve">Guardian model: </w:t>
      </w:r>
      <w:r>
        <w:rPr>
          <w:color w:val="333333"/>
        </w:rPr>
        <w:t xml:space="preserve">Each patient has a </w:t>
      </w:r>
      <w:proofErr w:type="gramStart"/>
      <w:r>
        <w:rPr>
          <w:color w:val="333333"/>
        </w:rPr>
        <w:t>guardian — someone</w:t>
      </w:r>
      <w:proofErr w:type="gramEnd"/>
      <w:r>
        <w:rPr>
          <w:color w:val="333333"/>
        </w:rPr>
        <w:t xml:space="preserve"> who cares about them, administers medication, and attends meetings. This can be a spouse, family member, or professional caregiver. Couples frequently report it helped heal their relationship. Some programs use sober living staff for patients without a natural guardian.</w:t>
      </w:r>
    </w:p>
    <w:p w14:paraId="6B204D1A" w14:textId="77777777" w:rsidR="00065694" w:rsidRDefault="00000000">
      <w:pPr>
        <w:spacing w:after="160"/>
      </w:pPr>
      <w:r>
        <w:rPr>
          <w:b/>
          <w:bCs/>
          <w:color w:val="333333"/>
        </w:rPr>
        <w:t xml:space="preserve">Protocol duration: </w:t>
      </w:r>
      <w:r>
        <w:rPr>
          <w:color w:val="333333"/>
        </w:rPr>
        <w:t>15–30 days for opiates and benzodiazepines, 5–7 days for alcohol. The extended protocol is what makes this clinically superior — insurance authorizes only 5 days of inpatient detox, but secondary withdrawals last 2–4 weeks. Patients discharged after 5 days almost never complete treatment.</w:t>
      </w:r>
    </w:p>
    <w:p w14:paraId="513ACD7D" w14:textId="77777777" w:rsidR="00065694" w:rsidRDefault="00000000">
      <w:pPr>
        <w:spacing w:after="160"/>
      </w:pPr>
      <w:r>
        <w:rPr>
          <w:b/>
          <w:bCs/>
          <w:color w:val="333333"/>
        </w:rPr>
        <w:t xml:space="preserve">Patient population: </w:t>
      </w:r>
      <w:r>
        <w:rPr>
          <w:color w:val="333333"/>
        </w:rPr>
        <w:t>Ambulatory detox attracts functioning people — they still work, they are still parents, they participate in everyday life. They use or drink because of their addiction, but they function. Probably less than 20% have comorbid mental health issues, compared to the complex populations that create operational nightmares in inpatient settings.</w:t>
      </w:r>
    </w:p>
    <w:p w14:paraId="57EA15BE" w14:textId="77777777" w:rsidR="00065694" w:rsidRDefault="00065694">
      <w:pPr>
        <w:spacing w:after="80"/>
      </w:pPr>
    </w:p>
    <w:p w14:paraId="4A50F1FD" w14:textId="77777777" w:rsidR="00065694" w:rsidRDefault="00000000">
      <w:pPr>
        <w:pStyle w:val="Heading2"/>
      </w:pPr>
      <w:proofErr w:type="gramStart"/>
      <w:r>
        <w:t>6.2  AI</w:t>
      </w:r>
      <w:proofErr w:type="gramEnd"/>
      <w:r>
        <w:t>-Enhanced Training, Reporting, and Monitoring</w:t>
      </w:r>
    </w:p>
    <w:p w14:paraId="1E605A31" w14:textId="77777777" w:rsidR="00065694" w:rsidRDefault="00000000">
      <w:pPr>
        <w:spacing w:after="160"/>
      </w:pPr>
      <w:r>
        <w:rPr>
          <w:color w:val="333333"/>
        </w:rPr>
        <w:t>This is the layer that makes ambulatory detox sustainable and scalable. It directly addresses the operational capability fear that historically eliminated 20–25% of prospects.</w:t>
      </w:r>
    </w:p>
    <w:p w14:paraId="7170D720" w14:textId="77777777" w:rsidR="00065694" w:rsidRDefault="00065694">
      <w:pPr>
        <w:spacing w:after="40"/>
      </w:pPr>
    </w:p>
    <w:p w14:paraId="10F9D1DA" w14:textId="77777777" w:rsidR="00065694" w:rsidRDefault="00000000">
      <w:pPr>
        <w:spacing w:after="160"/>
      </w:pPr>
      <w:r>
        <w:rPr>
          <w:b/>
          <w:bCs/>
          <w:color w:val="1A3461"/>
          <w:sz w:val="24"/>
          <w:szCs w:val="24"/>
        </w:rPr>
        <w:t>Onboarding: AI-Accelerated Setup</w:t>
      </w:r>
    </w:p>
    <w:p w14:paraId="5AF448F9" w14:textId="77777777" w:rsidR="00065694" w:rsidRDefault="00000000">
      <w:pPr>
        <w:pStyle w:val="ListParagraph"/>
        <w:numPr>
          <w:ilvl w:val="0"/>
          <w:numId w:val="5"/>
        </w:numPr>
        <w:spacing w:after="80"/>
      </w:pPr>
      <w:r>
        <w:rPr>
          <w:color w:val="333333"/>
        </w:rPr>
        <w:t>AI agents process your existing forms, workflows, and meeting transcripts to draft SOPs, checklists, and dashboards tailored to your operation</w:t>
      </w:r>
    </w:p>
    <w:p w14:paraId="68A05BCF" w14:textId="77777777" w:rsidR="00065694" w:rsidRDefault="00000000">
      <w:pPr>
        <w:pStyle w:val="ListParagraph"/>
        <w:numPr>
          <w:ilvl w:val="0"/>
          <w:numId w:val="5"/>
        </w:numPr>
        <w:spacing w:after="80"/>
      </w:pPr>
      <w:r>
        <w:rPr>
          <w:color w:val="333333"/>
        </w:rPr>
        <w:t>Structured training modules: 5 clinical, 2 administrative, 2 admissions — all recorded and stored permanently</w:t>
      </w:r>
    </w:p>
    <w:p w14:paraId="6AEF0EDB" w14:textId="77777777" w:rsidR="00065694" w:rsidRDefault="00000000">
      <w:pPr>
        <w:pStyle w:val="ListParagraph"/>
        <w:numPr>
          <w:ilvl w:val="0"/>
          <w:numId w:val="5"/>
        </w:numPr>
        <w:spacing w:after="80"/>
      </w:pPr>
      <w:r>
        <w:rPr>
          <w:color w:val="333333"/>
        </w:rPr>
        <w:t>Initial reporting structure and billing views built faster than a human-only process</w:t>
      </w:r>
    </w:p>
    <w:p w14:paraId="7019CEA8" w14:textId="77777777" w:rsidR="00065694" w:rsidRDefault="00000000">
      <w:pPr>
        <w:pStyle w:val="ListParagraph"/>
        <w:numPr>
          <w:ilvl w:val="0"/>
          <w:numId w:val="5"/>
        </w:numPr>
        <w:spacing w:after="80"/>
      </w:pPr>
      <w:r>
        <w:rPr>
          <w:color w:val="333333"/>
        </w:rPr>
        <w:t>Your team sees a working operating system taking shape in weeks, not months</w:t>
      </w:r>
    </w:p>
    <w:p w14:paraId="291A00D6" w14:textId="77777777" w:rsidR="00065694" w:rsidRDefault="00065694">
      <w:pPr>
        <w:spacing w:after="80"/>
      </w:pPr>
    </w:p>
    <w:p w14:paraId="659EEAAE" w14:textId="77777777" w:rsidR="00065694" w:rsidRDefault="00000000">
      <w:pPr>
        <w:spacing w:after="160"/>
      </w:pPr>
      <w:r>
        <w:rPr>
          <w:b/>
          <w:bCs/>
          <w:color w:val="1A3461"/>
          <w:sz w:val="24"/>
          <w:szCs w:val="24"/>
        </w:rPr>
        <w:t>Ongoing: Live Reporting and Compliance Monitoring</w:t>
      </w:r>
    </w:p>
    <w:p w14:paraId="1C9E065B" w14:textId="77777777" w:rsidR="00065694" w:rsidRDefault="00000000">
      <w:pPr>
        <w:pStyle w:val="ListParagraph"/>
        <w:numPr>
          <w:ilvl w:val="0"/>
          <w:numId w:val="5"/>
        </w:numPr>
        <w:spacing w:after="80"/>
      </w:pPr>
      <w:r>
        <w:rPr>
          <w:color w:val="333333"/>
        </w:rPr>
        <w:t>Live census and revenue dashboard tracking 60+ KPIs across 6 operational categories</w:t>
      </w:r>
    </w:p>
    <w:p w14:paraId="75668F2C" w14:textId="77777777" w:rsidR="00065694" w:rsidRDefault="00000000">
      <w:pPr>
        <w:pStyle w:val="ListParagraph"/>
        <w:numPr>
          <w:ilvl w:val="0"/>
          <w:numId w:val="5"/>
        </w:numPr>
        <w:spacing w:after="80"/>
      </w:pPr>
      <w:r>
        <w:rPr>
          <w:color w:val="333333"/>
        </w:rPr>
        <w:t>Payer performance monitoring: contracted rate vs. actual paid, underpayment flags, claims aging</w:t>
      </w:r>
    </w:p>
    <w:p w14:paraId="7A8F7B13" w14:textId="77777777" w:rsidR="00065694" w:rsidRDefault="00000000">
      <w:pPr>
        <w:pStyle w:val="ListParagraph"/>
        <w:numPr>
          <w:ilvl w:val="0"/>
          <w:numId w:val="5"/>
        </w:numPr>
        <w:spacing w:after="80"/>
      </w:pPr>
      <w:r>
        <w:rPr>
          <w:color w:val="333333"/>
        </w:rPr>
        <w:t>Weekly financial scorecard (32 items, 160-point scale) with automatic rollup to monthly, quarterly, and yearly views</w:t>
      </w:r>
    </w:p>
    <w:p w14:paraId="6D717DE9" w14:textId="77777777" w:rsidR="00065694" w:rsidRDefault="00000000">
      <w:pPr>
        <w:pStyle w:val="ListParagraph"/>
        <w:numPr>
          <w:ilvl w:val="0"/>
          <w:numId w:val="5"/>
        </w:numPr>
        <w:spacing w:after="80"/>
      </w:pPr>
      <w:r>
        <w:rPr>
          <w:color w:val="333333"/>
        </w:rPr>
        <w:t>Protocol compliance tracking: are daily check-ins happening? Are forms being completed?</w:t>
      </w:r>
    </w:p>
    <w:p w14:paraId="35F85725" w14:textId="77777777" w:rsidR="00065694" w:rsidRDefault="00000000">
      <w:pPr>
        <w:pStyle w:val="ListParagraph"/>
        <w:numPr>
          <w:ilvl w:val="0"/>
          <w:numId w:val="5"/>
        </w:numPr>
        <w:spacing w:after="80"/>
      </w:pPr>
      <w:r>
        <w:rPr>
          <w:color w:val="333333"/>
        </w:rPr>
        <w:t>Audit-ready documentation maintained continuously — if an auditor walks in, the system is the defense</w:t>
      </w:r>
    </w:p>
    <w:p w14:paraId="1333F7E4" w14:textId="77777777" w:rsidR="00065694" w:rsidRDefault="00000000">
      <w:pPr>
        <w:pStyle w:val="ListParagraph"/>
        <w:numPr>
          <w:ilvl w:val="0"/>
          <w:numId w:val="5"/>
        </w:numPr>
        <w:spacing w:after="80"/>
      </w:pPr>
      <w:r>
        <w:rPr>
          <w:color w:val="333333"/>
        </w:rPr>
        <w:t>Third-party biller monitoring: if you have an outside billing company, the dashboard tracks whether they are doing what they should</w:t>
      </w:r>
    </w:p>
    <w:p w14:paraId="4BB9AA50" w14:textId="77777777" w:rsidR="00065694" w:rsidRDefault="00065694">
      <w:pPr>
        <w:spacing w:after="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200" w:type="dxa"/>
          <w:bottom w:w="120" w:type="dxa"/>
          <w:right w:w="200" w:type="dxa"/>
        </w:tblCellMar>
        <w:tblLook w:val="04A0" w:firstRow="1" w:lastRow="0" w:firstColumn="1" w:lastColumn="0" w:noHBand="0" w:noVBand="1"/>
      </w:tblPr>
      <w:tblGrid>
        <w:gridCol w:w="9013"/>
      </w:tblGrid>
      <w:tr w:rsidR="00065694" w14:paraId="40874827" w14:textId="77777777">
        <w:tc>
          <w:tcPr>
            <w:tcW w:w="9360" w:type="dxa"/>
            <w:tcBorders>
              <w:top w:val="single" w:sz="2" w:space="0" w:color="C4A74E"/>
              <w:left w:val="single" w:sz="8" w:space="0" w:color="C4A74E"/>
              <w:bottom w:val="single" w:sz="2" w:space="0" w:color="C4A74E"/>
              <w:right w:val="single" w:sz="2" w:space="0" w:color="C4A74E"/>
            </w:tcBorders>
            <w:shd w:val="clear" w:color="auto" w:fill="F7F4EE"/>
          </w:tcPr>
          <w:p w14:paraId="2CC799A7" w14:textId="77777777" w:rsidR="00065694" w:rsidRDefault="00000000">
            <w:pPr>
              <w:spacing w:after="80"/>
            </w:pPr>
            <w:r>
              <w:rPr>
                <w:i/>
                <w:iCs/>
                <w:color w:val="1A3461"/>
              </w:rPr>
              <w:t>"You don’t have to figure this out. The system does it for you."</w:t>
            </w:r>
          </w:p>
          <w:p w14:paraId="005E664D" w14:textId="77777777" w:rsidR="00065694" w:rsidRDefault="00000000">
            <w:pPr>
              <w:spacing w:after="80"/>
            </w:pPr>
            <w:r>
              <w:rPr>
                <w:color w:val="1A3461"/>
              </w:rPr>
              <w:t>Weekly input from your team. Everything else — dashboards, rollups, compliance tracking, billing oversight — happens automatically.</w:t>
            </w:r>
          </w:p>
        </w:tc>
      </w:tr>
    </w:tbl>
    <w:p w14:paraId="20E7D225" w14:textId="77777777" w:rsidR="00065694" w:rsidRDefault="00065694">
      <w:pPr>
        <w:spacing w:after="120"/>
      </w:pPr>
    </w:p>
    <w:p w14:paraId="78758C5C" w14:textId="77777777" w:rsidR="00065694" w:rsidRDefault="00000000">
      <w:pPr>
        <w:spacing w:after="160"/>
      </w:pPr>
      <w:r>
        <w:rPr>
          <w:b/>
          <w:bCs/>
          <w:color w:val="1A3461"/>
          <w:sz w:val="24"/>
          <w:szCs w:val="24"/>
        </w:rPr>
        <w:t>What Makes This AI Infrastructure Different</w:t>
      </w:r>
    </w:p>
    <w:p w14:paraId="5096AB18" w14:textId="77777777" w:rsidR="00065694" w:rsidRDefault="00000000">
      <w:pPr>
        <w:spacing w:after="160"/>
      </w:pPr>
      <w:r>
        <w:rPr>
          <w:color w:val="333333"/>
        </w:rPr>
        <w:t>There is no shortage of companies charging thousands of dollars for “AI consulting” that delivers nothing. We have seen programs pay significant fees for AI integration and receive nothing usable — what one insurance industry contact described as “totally smoke and mirrors.”</w:t>
      </w:r>
    </w:p>
    <w:p w14:paraId="3F2E935B" w14:textId="77777777" w:rsidR="00065694" w:rsidRDefault="00000000">
      <w:pPr>
        <w:spacing w:after="160"/>
      </w:pPr>
      <w:r>
        <w:rPr>
          <w:color w:val="333333"/>
        </w:rPr>
        <w:t>This platform is different in three specific ways:</w:t>
      </w:r>
    </w:p>
    <w:p w14:paraId="78D7E984" w14:textId="77777777" w:rsidR="00065694" w:rsidRDefault="00000000">
      <w:pPr>
        <w:pStyle w:val="ListParagraph"/>
        <w:numPr>
          <w:ilvl w:val="0"/>
          <w:numId w:val="5"/>
        </w:numPr>
        <w:spacing w:after="80"/>
      </w:pPr>
      <w:r>
        <w:rPr>
          <w:b/>
          <w:bCs/>
          <w:color w:val="333333"/>
        </w:rPr>
        <w:t xml:space="preserve">Purpose-built for ambulatory detox and behavioral health. </w:t>
      </w:r>
      <w:r>
        <w:rPr>
          <w:color w:val="333333"/>
        </w:rPr>
        <w:t>This is not a generic AI dashboard applied to healthcare. Every KPI, every SOP template, every scorecard item is designed for the specific workflows of an ambulatory detox operation.</w:t>
      </w:r>
    </w:p>
    <w:p w14:paraId="0E265688" w14:textId="77777777" w:rsidR="00065694" w:rsidRDefault="00000000">
      <w:pPr>
        <w:pStyle w:val="ListParagraph"/>
        <w:numPr>
          <w:ilvl w:val="0"/>
          <w:numId w:val="5"/>
        </w:numPr>
        <w:spacing w:after="80"/>
      </w:pPr>
      <w:r>
        <w:rPr>
          <w:b/>
          <w:bCs/>
          <w:color w:val="333333"/>
        </w:rPr>
        <w:t xml:space="preserve">HIPAA-compliant AI infrastructure. </w:t>
      </w:r>
      <w:r>
        <w:rPr>
          <w:color w:val="333333"/>
        </w:rPr>
        <w:t xml:space="preserve">Patient data never touches public AI tools. We are building private, HIPAA-compliant AI systems that run on your own infrastructure </w:t>
      </w:r>
      <w:r>
        <w:rPr>
          <w:color w:val="333333"/>
        </w:rPr>
        <w:lastRenderedPageBreak/>
        <w:t>— capable of analyzing patient trends, incident reporting, and profit margin analysis without any data leaving your environment.</w:t>
      </w:r>
    </w:p>
    <w:p w14:paraId="6FD25055" w14:textId="77777777" w:rsidR="00065694" w:rsidRDefault="00000000">
      <w:pPr>
        <w:pStyle w:val="ListParagraph"/>
        <w:numPr>
          <w:ilvl w:val="0"/>
          <w:numId w:val="5"/>
        </w:numPr>
        <w:spacing w:after="80"/>
      </w:pPr>
      <w:r>
        <w:rPr>
          <w:b/>
          <w:bCs/>
          <w:color w:val="333333"/>
        </w:rPr>
        <w:t xml:space="preserve">Replicable across locations. </w:t>
      </w:r>
      <w:r>
        <w:rPr>
          <w:color w:val="333333"/>
        </w:rPr>
        <w:t>For multi-location operators, the system is built once and replicated to every site. The AI infrastructure, dashboards, SOPs, and training modules transfer without rebuilding. This is the key advantage for enterprise prospects: set it up once, deploy everywhere.</w:t>
      </w:r>
    </w:p>
    <w:p w14:paraId="7260BE2B" w14:textId="77777777" w:rsidR="00065694" w:rsidRDefault="00065694">
      <w:pPr>
        <w:spacing w:after="40"/>
      </w:pPr>
    </w:p>
    <w:p w14:paraId="046C6A0A" w14:textId="77777777" w:rsidR="00065694" w:rsidRDefault="00000000">
      <w:pPr>
        <w:spacing w:after="160"/>
      </w:pPr>
      <w:r>
        <w:rPr>
          <w:color w:val="333333"/>
        </w:rPr>
        <w:t>For context: respected business consultants are now charging $500–$10,000 per month for AI-powered dashboard and data systems in other industries. This offering is purpose-built for your specific vertical at a fraction of that cost, included as part of the ambulatory detox implementation.</w:t>
      </w:r>
    </w:p>
    <w:p w14:paraId="4E2CC332" w14:textId="77777777" w:rsidR="00065694" w:rsidRDefault="00000000">
      <w:r>
        <w:br w:type="page"/>
      </w:r>
    </w:p>
    <w:p w14:paraId="26492C88" w14:textId="77777777" w:rsidR="00065694" w:rsidRDefault="00000000">
      <w:pPr>
        <w:pStyle w:val="Heading1"/>
      </w:pPr>
      <w:r>
        <w:lastRenderedPageBreak/>
        <w:t>PROOF: DATA, PROGRAMS, AND THIRD-PARTY VALIDATION</w:t>
      </w:r>
    </w:p>
    <w:p w14:paraId="603E2F4D" w14:textId="77777777" w:rsidR="00065694" w:rsidRDefault="00065694">
      <w:pPr>
        <w:spacing w:after="40"/>
      </w:pPr>
    </w:p>
    <w:p w14:paraId="4CA98B44" w14:textId="77777777" w:rsidR="00065694" w:rsidRDefault="00000000">
      <w:pPr>
        <w:pStyle w:val="Heading2"/>
      </w:pPr>
      <w:r>
        <w:t>Programs Already Running This Model</w:t>
      </w:r>
    </w:p>
    <w:p w14:paraId="1F5097EE" w14:textId="77777777" w:rsidR="00065694" w:rsidRDefault="00065694">
      <w:pPr>
        <w:spacing w:after="40"/>
      </w:pPr>
    </w:p>
    <w:p w14:paraId="71E15256" w14:textId="77777777" w:rsidR="00065694" w:rsidRDefault="00000000">
      <w:pPr>
        <w:spacing w:after="160"/>
      </w:pPr>
      <w:r>
        <w:rPr>
          <w:b/>
          <w:bCs/>
          <w:color w:val="1A3461"/>
        </w:rPr>
        <w:t>Program A — 2+ Years Operating</w:t>
      </w:r>
    </w:p>
    <w:p w14:paraId="6C209504" w14:textId="77777777" w:rsidR="00065694" w:rsidRDefault="00000000">
      <w:pPr>
        <w:pStyle w:val="ListParagraph"/>
        <w:numPr>
          <w:ilvl w:val="0"/>
          <w:numId w:val="6"/>
        </w:numPr>
        <w:spacing w:after="80"/>
      </w:pPr>
      <w:r>
        <w:rPr>
          <w:color w:val="333333"/>
        </w:rPr>
        <w:t>Operational for over two years with high patient volume from an existing day treatment model</w:t>
      </w:r>
    </w:p>
    <w:p w14:paraId="3901AA52" w14:textId="77777777" w:rsidR="00065694" w:rsidRDefault="00000000">
      <w:pPr>
        <w:pStyle w:val="ListParagraph"/>
        <w:numPr>
          <w:ilvl w:val="0"/>
          <w:numId w:val="6"/>
        </w:numPr>
        <w:spacing w:after="80"/>
      </w:pPr>
      <w:r>
        <w:rPr>
          <w:color w:val="333333"/>
        </w:rPr>
        <w:t>Dual billing (detox + day treatment) generating strong monthly revenue</w:t>
      </w:r>
    </w:p>
    <w:p w14:paraId="0FEFECF9" w14:textId="77777777" w:rsidR="00065694" w:rsidRDefault="00000000">
      <w:pPr>
        <w:pStyle w:val="ListParagraph"/>
        <w:numPr>
          <w:ilvl w:val="0"/>
          <w:numId w:val="6"/>
        </w:numPr>
        <w:spacing w:after="80"/>
      </w:pPr>
      <w:r>
        <w:rPr>
          <w:color w:val="333333"/>
        </w:rPr>
        <w:t>Hotel partnership for out-of-area patients</w:t>
      </w:r>
    </w:p>
    <w:p w14:paraId="0262D67E" w14:textId="77777777" w:rsidR="00065694" w:rsidRDefault="00000000">
      <w:pPr>
        <w:pStyle w:val="ListParagraph"/>
        <w:numPr>
          <w:ilvl w:val="0"/>
          <w:numId w:val="6"/>
        </w:numPr>
        <w:spacing w:after="80"/>
      </w:pPr>
      <w:r>
        <w:rPr>
          <w:color w:val="333333"/>
        </w:rPr>
        <w:t>Revenue-positive from month one</w:t>
      </w:r>
    </w:p>
    <w:p w14:paraId="24CB3E92" w14:textId="77777777" w:rsidR="00065694" w:rsidRDefault="00065694">
      <w:pPr>
        <w:spacing w:after="80"/>
      </w:pPr>
    </w:p>
    <w:p w14:paraId="242C339F" w14:textId="77777777" w:rsidR="00065694" w:rsidRDefault="00000000">
      <w:pPr>
        <w:spacing w:after="160"/>
      </w:pPr>
      <w:r>
        <w:rPr>
          <w:b/>
          <w:bCs/>
          <w:color w:val="1A3461"/>
        </w:rPr>
        <w:t>Program B — Launching Now</w:t>
      </w:r>
    </w:p>
    <w:p w14:paraId="4EC5174E" w14:textId="77777777" w:rsidR="00065694" w:rsidRDefault="00000000">
      <w:pPr>
        <w:pStyle w:val="ListParagraph"/>
        <w:numPr>
          <w:ilvl w:val="0"/>
          <w:numId w:val="6"/>
        </w:numPr>
        <w:spacing w:after="80"/>
      </w:pPr>
      <w:r>
        <w:rPr>
          <w:color w:val="333333"/>
        </w:rPr>
        <w:t>221 patients currently in treatment at the facility</w:t>
      </w:r>
    </w:p>
    <w:p w14:paraId="7A1BDC2E" w14:textId="77777777" w:rsidR="00065694" w:rsidRDefault="00000000">
      <w:pPr>
        <w:pStyle w:val="ListParagraph"/>
        <w:numPr>
          <w:ilvl w:val="0"/>
          <w:numId w:val="6"/>
        </w:numPr>
        <w:spacing w:after="80"/>
      </w:pPr>
      <w:r>
        <w:rPr>
          <w:color w:val="333333"/>
        </w:rPr>
        <w:t>10+ detox patients starting in week one of the ambulatory line</w:t>
      </w:r>
    </w:p>
    <w:p w14:paraId="19DAD08B" w14:textId="77777777" w:rsidR="00065694" w:rsidRDefault="00000000">
      <w:pPr>
        <w:pStyle w:val="ListParagraph"/>
        <w:numPr>
          <w:ilvl w:val="0"/>
          <w:numId w:val="6"/>
        </w:numPr>
        <w:spacing w:after="80"/>
      </w:pPr>
      <w:r>
        <w:rPr>
          <w:color w:val="333333"/>
        </w:rPr>
        <w:t>Existing staff and systems in place — implementation under 30 days</w:t>
      </w:r>
    </w:p>
    <w:p w14:paraId="7A7F1379" w14:textId="77777777" w:rsidR="00065694" w:rsidRDefault="00000000">
      <w:pPr>
        <w:pStyle w:val="ListParagraph"/>
        <w:numPr>
          <w:ilvl w:val="0"/>
          <w:numId w:val="6"/>
        </w:numPr>
        <w:spacing w:after="80"/>
      </w:pPr>
      <w:r>
        <w:rPr>
          <w:color w:val="333333"/>
        </w:rPr>
        <w:t>Projected high monthly revenue based on current census</w:t>
      </w:r>
    </w:p>
    <w:p w14:paraId="781B04E3" w14:textId="77777777" w:rsidR="00065694" w:rsidRDefault="00065694">
      <w:pPr>
        <w:spacing w:after="80"/>
      </w:pPr>
    </w:p>
    <w:p w14:paraId="3F976317" w14:textId="77777777" w:rsidR="00065694" w:rsidRDefault="00000000">
      <w:pPr>
        <w:spacing w:after="160"/>
      </w:pPr>
      <w:r>
        <w:rPr>
          <w:b/>
          <w:bCs/>
          <w:color w:val="333333"/>
        </w:rPr>
        <w:t xml:space="preserve">References available: </w:t>
      </w:r>
      <w:r>
        <w:rPr>
          <w:color w:val="333333"/>
        </w:rPr>
        <w:t>We can connect you directly with program operators running this model.</w:t>
      </w:r>
    </w:p>
    <w:p w14:paraId="2DC12F1D" w14:textId="77777777" w:rsidR="00065694" w:rsidRDefault="00065694">
      <w:pPr>
        <w:spacing w:after="120"/>
      </w:pPr>
    </w:p>
    <w:p w14:paraId="6739497E" w14:textId="77777777" w:rsidR="00065694" w:rsidRDefault="00000000">
      <w:pPr>
        <w:pStyle w:val="Heading2"/>
      </w:pPr>
      <w:r>
        <w:t>Insurance Validation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200" w:type="dxa"/>
          <w:bottom w:w="120" w:type="dxa"/>
          <w:right w:w="200" w:type="dxa"/>
        </w:tblCellMar>
        <w:tblLook w:val="04A0" w:firstRow="1" w:lastRow="0" w:firstColumn="1" w:lastColumn="0" w:noHBand="0" w:noVBand="1"/>
      </w:tblPr>
      <w:tblGrid>
        <w:gridCol w:w="9013"/>
      </w:tblGrid>
      <w:tr w:rsidR="00065694" w14:paraId="7C03D1A0" w14:textId="77777777">
        <w:tc>
          <w:tcPr>
            <w:tcW w:w="9360" w:type="dxa"/>
            <w:tcBorders>
              <w:top w:val="single" w:sz="2" w:space="0" w:color="C4A74E"/>
              <w:left w:val="single" w:sz="8" w:space="0" w:color="C4A74E"/>
              <w:bottom w:val="single" w:sz="2" w:space="0" w:color="C4A74E"/>
              <w:right w:val="single" w:sz="2" w:space="0" w:color="C4A74E"/>
            </w:tcBorders>
            <w:shd w:val="clear" w:color="auto" w:fill="F7F4EE"/>
          </w:tcPr>
          <w:p w14:paraId="1BC55E70" w14:textId="77777777" w:rsidR="00065694" w:rsidRDefault="00000000">
            <w:pPr>
              <w:spacing w:after="80"/>
            </w:pPr>
            <w:r>
              <w:rPr>
                <w:i/>
                <w:iCs/>
                <w:color w:val="1A3461"/>
              </w:rPr>
              <w:t>"I can share that I have worked with and known Mike Webb for 10 years now and think very highly of both. I am familiar with Mike’s role in establishing and advocating for this level of care. I trust the program he has created. In fact, our insurance company is contracted with an ambulatory detox center that Mike helped set up, and it’s been successful, and we have a great partnership with that center."</w:t>
            </w:r>
          </w:p>
          <w:p w14:paraId="7DC4A53B" w14:textId="77777777" w:rsidR="00065694" w:rsidRDefault="00000000">
            <w:pPr>
              <w:spacing w:after="80"/>
            </w:pPr>
            <w:r>
              <w:rPr>
                <w:b/>
                <w:bCs/>
                <w:color w:val="1A3461"/>
                <w:sz w:val="20"/>
                <w:szCs w:val="20"/>
              </w:rPr>
              <w:t>— National Insurance Company Executive</w:t>
            </w:r>
          </w:p>
        </w:tc>
      </w:tr>
    </w:tbl>
    <w:p w14:paraId="398DD771" w14:textId="77777777" w:rsidR="00065694" w:rsidRDefault="00065694">
      <w:pPr>
        <w:spacing w:after="80"/>
      </w:pPr>
    </w:p>
    <w:p w14:paraId="118EEEAF" w14:textId="77777777" w:rsidR="00065694" w:rsidRDefault="00000000">
      <w:pPr>
        <w:spacing w:after="160"/>
      </w:pPr>
      <w:r>
        <w:rPr>
          <w:color w:val="333333"/>
        </w:rPr>
        <w:t>Major carriers have provided written confirmation that this protocol is billable and reimbursable at $375–$450 per day. The structured, ASAM-aligned approach — with daily monitoring, detailed documentation, and higher service intensity than typical ambulatory programs — is what differentiates it in the eyes of insurance companies.</w:t>
      </w:r>
    </w:p>
    <w:p w14:paraId="336760E1" w14:textId="77777777" w:rsidR="00065694" w:rsidRDefault="00065694">
      <w:pPr>
        <w:spacing w:after="40"/>
      </w:pPr>
    </w:p>
    <w:p w14:paraId="1FFC5F26" w14:textId="77777777" w:rsidR="00065694" w:rsidRDefault="00000000">
      <w:pPr>
        <w:pStyle w:val="Heading2"/>
      </w:pPr>
      <w:r>
        <w:t>Clinical Outcomes</w:t>
      </w:r>
    </w:p>
    <w:p w14:paraId="2FDAEC41" w14:textId="77777777" w:rsidR="00065694" w:rsidRDefault="00000000">
      <w:pPr>
        <w:pStyle w:val="ListParagraph"/>
        <w:numPr>
          <w:ilvl w:val="0"/>
          <w:numId w:val="6"/>
        </w:numPr>
        <w:spacing w:after="80"/>
      </w:pPr>
      <w:r>
        <w:rPr>
          <w:color w:val="333333"/>
        </w:rPr>
        <w:t>20–</w:t>
      </w:r>
      <w:proofErr w:type="gramStart"/>
      <w:r>
        <w:rPr>
          <w:color w:val="333333"/>
        </w:rPr>
        <w:t>30 day</w:t>
      </w:r>
      <w:proofErr w:type="gramEnd"/>
      <w:r>
        <w:rPr>
          <w:color w:val="333333"/>
        </w:rPr>
        <w:t xml:space="preserve"> engagement vs. 5-day inpatient: patients complete the full withdrawal cycle</w:t>
      </w:r>
    </w:p>
    <w:p w14:paraId="7CA63CF8" w14:textId="77777777" w:rsidR="00065694" w:rsidRDefault="00000000">
      <w:pPr>
        <w:pStyle w:val="ListParagraph"/>
        <w:numPr>
          <w:ilvl w:val="0"/>
          <w:numId w:val="6"/>
        </w:numPr>
        <w:spacing w:after="80"/>
      </w:pPr>
      <w:r>
        <w:rPr>
          <w:color w:val="333333"/>
        </w:rPr>
        <w:t>Structured daily check-ins prevent AMA departures — 98% of AMAs trace back to medical discomfort from incomplete detox</w:t>
      </w:r>
    </w:p>
    <w:p w14:paraId="107E019D" w14:textId="77777777" w:rsidR="00065694" w:rsidRDefault="00000000">
      <w:pPr>
        <w:pStyle w:val="ListParagraph"/>
        <w:numPr>
          <w:ilvl w:val="0"/>
          <w:numId w:val="6"/>
        </w:numPr>
        <w:spacing w:after="80"/>
      </w:pPr>
      <w:r>
        <w:rPr>
          <w:color w:val="333333"/>
        </w:rPr>
        <w:lastRenderedPageBreak/>
        <w:t>Seamless transition into residential, IOP, or PHP: patients already know the staff and facility</w:t>
      </w:r>
    </w:p>
    <w:p w14:paraId="4D109FE7" w14:textId="77777777" w:rsidR="00065694" w:rsidRDefault="00000000">
      <w:pPr>
        <w:pStyle w:val="ListParagraph"/>
        <w:numPr>
          <w:ilvl w:val="0"/>
          <w:numId w:val="6"/>
        </w:numPr>
        <w:spacing w:after="80"/>
      </w:pPr>
      <w:r>
        <w:rPr>
          <w:color w:val="333333"/>
        </w:rPr>
        <w:t>Secondary withdrawal problem solved: the ambulatory model is the only approach that keeps patients in protocol long enough for full resolution</w:t>
      </w:r>
    </w:p>
    <w:p w14:paraId="11D33FC8" w14:textId="77777777" w:rsidR="00065694" w:rsidRDefault="00000000">
      <w:r>
        <w:br w:type="page"/>
      </w:r>
    </w:p>
    <w:p w14:paraId="70428D7B" w14:textId="77777777" w:rsidR="00065694" w:rsidRDefault="00000000">
      <w:pPr>
        <w:pStyle w:val="Heading1"/>
      </w:pPr>
      <w:r>
        <w:lastRenderedPageBreak/>
        <w:t>IMPLEMENTATION ROADMAP</w:t>
      </w:r>
    </w:p>
    <w:p w14:paraId="443A9FDE" w14:textId="77777777" w:rsidR="00065694" w:rsidRDefault="00000000">
      <w:pPr>
        <w:spacing w:after="160"/>
      </w:pPr>
      <w:r>
        <w:rPr>
          <w:color w:val="333333"/>
        </w:rPr>
        <w:t>Implementation typically takes 3–4 months from initial assessment to live patients. Faster for well-organized programs with existing staff and infrastructure.</w:t>
      </w:r>
    </w:p>
    <w:p w14:paraId="1813EEFA" w14:textId="77777777" w:rsidR="00065694" w:rsidRDefault="00065694">
      <w:pPr>
        <w:spacing w:after="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0" w:type="dxa"/>
          <w:bottom w:w="80" w:type="dxa"/>
          <w:right w:w="100" w:type="dxa"/>
        </w:tblCellMar>
        <w:tblLook w:val="04A0" w:firstRow="1" w:lastRow="0" w:firstColumn="1" w:lastColumn="0" w:noHBand="0" w:noVBand="1"/>
      </w:tblPr>
      <w:tblGrid>
        <w:gridCol w:w="2249"/>
        <w:gridCol w:w="2256"/>
        <w:gridCol w:w="2258"/>
        <w:gridCol w:w="2261"/>
      </w:tblGrid>
      <w:tr w:rsidR="00065694" w14:paraId="056B09C9" w14:textId="77777777">
        <w:tc>
          <w:tcPr>
            <w:tcW w:w="2340" w:type="dxa"/>
            <w:tcBorders>
              <w:top w:val="single" w:sz="1" w:space="0" w:color="CCCCCC"/>
              <w:left w:val="single" w:sz="1" w:space="0" w:color="CCCCCC"/>
              <w:bottom w:val="single" w:sz="1" w:space="0" w:color="CCCCCC"/>
              <w:right w:val="single" w:sz="1" w:space="0" w:color="CCCCCC"/>
            </w:tcBorders>
          </w:tcPr>
          <w:p w14:paraId="4FC3B2CD" w14:textId="77777777" w:rsidR="00065694" w:rsidRDefault="00000000">
            <w:pPr>
              <w:spacing w:before="80" w:after="40"/>
              <w:jc w:val="center"/>
            </w:pPr>
            <w:r>
              <w:rPr>
                <w:b/>
                <w:bCs/>
                <w:color w:val="1A3461"/>
                <w:sz w:val="20"/>
                <w:szCs w:val="20"/>
              </w:rPr>
              <w:t>STEP 1</w:t>
            </w:r>
          </w:p>
          <w:p w14:paraId="21AF5557" w14:textId="77777777" w:rsidR="00065694" w:rsidRDefault="00000000">
            <w:pPr>
              <w:spacing w:after="80"/>
              <w:jc w:val="center"/>
            </w:pPr>
            <w:r>
              <w:rPr>
                <w:b/>
                <w:bCs/>
                <w:color w:val="C4A74E"/>
              </w:rPr>
              <w:t>Assess</w:t>
            </w:r>
          </w:p>
          <w:p w14:paraId="5E69AF8A" w14:textId="77777777" w:rsidR="00065694" w:rsidRDefault="00000000">
            <w:pPr>
              <w:spacing w:after="40"/>
              <w:jc w:val="center"/>
            </w:pPr>
            <w:r>
              <w:rPr>
                <w:color w:val="333333"/>
                <w:sz w:val="18"/>
                <w:szCs w:val="18"/>
              </w:rPr>
              <w:t>Evaluate current program</w:t>
            </w:r>
          </w:p>
          <w:p w14:paraId="17801F2C" w14:textId="77777777" w:rsidR="00065694" w:rsidRDefault="00000000">
            <w:pPr>
              <w:spacing w:after="40"/>
              <w:jc w:val="center"/>
            </w:pPr>
            <w:r>
              <w:rPr>
                <w:color w:val="333333"/>
                <w:sz w:val="18"/>
                <w:szCs w:val="18"/>
              </w:rPr>
              <w:t>Review EHR and staff</w:t>
            </w:r>
          </w:p>
          <w:p w14:paraId="29388CE3" w14:textId="77777777" w:rsidR="00065694" w:rsidRDefault="00000000">
            <w:pPr>
              <w:spacing w:after="40"/>
              <w:jc w:val="center"/>
            </w:pPr>
            <w:r>
              <w:rPr>
                <w:color w:val="333333"/>
                <w:sz w:val="18"/>
                <w:szCs w:val="18"/>
              </w:rPr>
              <w:t>State licensing check</w:t>
            </w:r>
          </w:p>
        </w:tc>
        <w:tc>
          <w:tcPr>
            <w:tcW w:w="2340" w:type="dxa"/>
            <w:tcBorders>
              <w:top w:val="single" w:sz="1" w:space="0" w:color="CCCCCC"/>
              <w:left w:val="single" w:sz="1" w:space="0" w:color="CCCCCC"/>
              <w:bottom w:val="single" w:sz="1" w:space="0" w:color="CCCCCC"/>
              <w:right w:val="single" w:sz="1" w:space="0" w:color="CCCCCC"/>
            </w:tcBorders>
          </w:tcPr>
          <w:p w14:paraId="7981B940" w14:textId="77777777" w:rsidR="00065694" w:rsidRDefault="00000000">
            <w:pPr>
              <w:spacing w:before="80" w:after="40"/>
              <w:jc w:val="center"/>
            </w:pPr>
            <w:r>
              <w:rPr>
                <w:b/>
                <w:bCs/>
                <w:color w:val="1A3461"/>
                <w:sz w:val="20"/>
                <w:szCs w:val="20"/>
              </w:rPr>
              <w:t>STEP 2</w:t>
            </w:r>
          </w:p>
          <w:p w14:paraId="00ACD5D3" w14:textId="77777777" w:rsidR="00065694" w:rsidRDefault="00000000">
            <w:pPr>
              <w:spacing w:after="80"/>
              <w:jc w:val="center"/>
            </w:pPr>
            <w:r>
              <w:rPr>
                <w:b/>
                <w:bCs/>
                <w:color w:val="C4A74E"/>
              </w:rPr>
              <w:t>Install</w:t>
            </w:r>
          </w:p>
          <w:p w14:paraId="01939FA7" w14:textId="77777777" w:rsidR="00065694" w:rsidRDefault="00000000">
            <w:pPr>
              <w:spacing w:after="40"/>
              <w:jc w:val="center"/>
            </w:pPr>
            <w:r>
              <w:rPr>
                <w:color w:val="333333"/>
                <w:sz w:val="18"/>
                <w:szCs w:val="18"/>
              </w:rPr>
              <w:t>Protocols and training</w:t>
            </w:r>
          </w:p>
          <w:p w14:paraId="17606C4A" w14:textId="77777777" w:rsidR="00065694" w:rsidRDefault="00000000">
            <w:pPr>
              <w:spacing w:after="40"/>
              <w:jc w:val="center"/>
            </w:pPr>
            <w:r>
              <w:rPr>
                <w:color w:val="333333"/>
                <w:sz w:val="18"/>
                <w:szCs w:val="18"/>
              </w:rPr>
              <w:t>Billing code setup</w:t>
            </w:r>
          </w:p>
          <w:p w14:paraId="69270EB5" w14:textId="77777777" w:rsidR="00065694" w:rsidRDefault="00000000">
            <w:pPr>
              <w:spacing w:after="40"/>
              <w:jc w:val="center"/>
            </w:pPr>
            <w:r>
              <w:rPr>
                <w:color w:val="333333"/>
                <w:sz w:val="18"/>
                <w:szCs w:val="18"/>
              </w:rPr>
              <w:t>Dashboard integration</w:t>
            </w:r>
          </w:p>
        </w:tc>
        <w:tc>
          <w:tcPr>
            <w:tcW w:w="2340" w:type="dxa"/>
            <w:tcBorders>
              <w:top w:val="single" w:sz="1" w:space="0" w:color="CCCCCC"/>
              <w:left w:val="single" w:sz="1" w:space="0" w:color="CCCCCC"/>
              <w:bottom w:val="single" w:sz="1" w:space="0" w:color="CCCCCC"/>
              <w:right w:val="single" w:sz="1" w:space="0" w:color="CCCCCC"/>
            </w:tcBorders>
          </w:tcPr>
          <w:p w14:paraId="1A6C33AC" w14:textId="77777777" w:rsidR="00065694" w:rsidRDefault="00000000">
            <w:pPr>
              <w:spacing w:before="80" w:after="40"/>
              <w:jc w:val="center"/>
            </w:pPr>
            <w:r>
              <w:rPr>
                <w:b/>
                <w:bCs/>
                <w:color w:val="1A3461"/>
                <w:sz w:val="20"/>
                <w:szCs w:val="20"/>
              </w:rPr>
              <w:t>STEP 3</w:t>
            </w:r>
          </w:p>
          <w:p w14:paraId="44071DA8" w14:textId="77777777" w:rsidR="00065694" w:rsidRDefault="00000000">
            <w:pPr>
              <w:spacing w:after="80"/>
              <w:jc w:val="center"/>
            </w:pPr>
            <w:r>
              <w:rPr>
                <w:b/>
                <w:bCs/>
                <w:color w:val="C4A74E"/>
              </w:rPr>
              <w:t>Launch</w:t>
            </w:r>
          </w:p>
          <w:p w14:paraId="60099D81" w14:textId="77777777" w:rsidR="00065694" w:rsidRDefault="00000000">
            <w:pPr>
              <w:spacing w:after="40"/>
              <w:jc w:val="center"/>
            </w:pPr>
            <w:r>
              <w:rPr>
                <w:color w:val="333333"/>
                <w:sz w:val="18"/>
                <w:szCs w:val="18"/>
              </w:rPr>
              <w:t>Part-time staff begin</w:t>
            </w:r>
          </w:p>
          <w:p w14:paraId="6BEC5825" w14:textId="77777777" w:rsidR="00065694" w:rsidRDefault="00000000">
            <w:pPr>
              <w:spacing w:after="40"/>
              <w:jc w:val="center"/>
            </w:pPr>
            <w:r>
              <w:rPr>
                <w:color w:val="333333"/>
                <w:sz w:val="18"/>
                <w:szCs w:val="18"/>
              </w:rPr>
              <w:t>AI-assisted onboarding</w:t>
            </w:r>
          </w:p>
          <w:p w14:paraId="64FE6E10" w14:textId="77777777" w:rsidR="00065694" w:rsidRDefault="00000000">
            <w:pPr>
              <w:spacing w:after="40"/>
              <w:jc w:val="center"/>
            </w:pPr>
            <w:r>
              <w:rPr>
                <w:color w:val="333333"/>
                <w:sz w:val="18"/>
                <w:szCs w:val="18"/>
              </w:rPr>
              <w:t>First patients enrolled</w:t>
            </w:r>
          </w:p>
        </w:tc>
        <w:tc>
          <w:tcPr>
            <w:tcW w:w="2340" w:type="dxa"/>
            <w:tcBorders>
              <w:top w:val="single" w:sz="1" w:space="0" w:color="CCCCCC"/>
              <w:left w:val="single" w:sz="1" w:space="0" w:color="CCCCCC"/>
              <w:bottom w:val="single" w:sz="1" w:space="0" w:color="CCCCCC"/>
              <w:right w:val="single" w:sz="1" w:space="0" w:color="CCCCCC"/>
            </w:tcBorders>
          </w:tcPr>
          <w:p w14:paraId="0FD147F0" w14:textId="77777777" w:rsidR="00065694" w:rsidRDefault="00000000">
            <w:pPr>
              <w:spacing w:before="80" w:after="40"/>
              <w:jc w:val="center"/>
            </w:pPr>
            <w:r>
              <w:rPr>
                <w:b/>
                <w:bCs/>
                <w:color w:val="1A3461"/>
                <w:sz w:val="20"/>
                <w:szCs w:val="20"/>
              </w:rPr>
              <w:t>STEP 4</w:t>
            </w:r>
          </w:p>
          <w:p w14:paraId="6AC179C8" w14:textId="77777777" w:rsidR="00065694" w:rsidRDefault="00000000">
            <w:pPr>
              <w:spacing w:after="80"/>
              <w:jc w:val="center"/>
            </w:pPr>
            <w:r>
              <w:rPr>
                <w:b/>
                <w:bCs/>
                <w:color w:val="C4A74E"/>
              </w:rPr>
              <w:t>Optimize</w:t>
            </w:r>
          </w:p>
          <w:p w14:paraId="1B69E552" w14:textId="77777777" w:rsidR="00065694" w:rsidRDefault="00000000">
            <w:pPr>
              <w:spacing w:after="40"/>
              <w:jc w:val="center"/>
            </w:pPr>
            <w:r>
              <w:rPr>
                <w:color w:val="333333"/>
                <w:sz w:val="18"/>
                <w:szCs w:val="18"/>
              </w:rPr>
              <w:t>Ongoing support</w:t>
            </w:r>
          </w:p>
          <w:p w14:paraId="488F3156" w14:textId="77777777" w:rsidR="00065694" w:rsidRDefault="00000000">
            <w:pPr>
              <w:spacing w:after="40"/>
              <w:jc w:val="center"/>
            </w:pPr>
            <w:r>
              <w:rPr>
                <w:color w:val="333333"/>
                <w:sz w:val="18"/>
                <w:szCs w:val="18"/>
              </w:rPr>
              <w:t>Billing review cycles</w:t>
            </w:r>
          </w:p>
          <w:p w14:paraId="38649313" w14:textId="77777777" w:rsidR="00065694" w:rsidRDefault="00000000">
            <w:pPr>
              <w:spacing w:after="40"/>
              <w:jc w:val="center"/>
            </w:pPr>
            <w:r>
              <w:rPr>
                <w:color w:val="333333"/>
                <w:sz w:val="18"/>
                <w:szCs w:val="18"/>
              </w:rPr>
              <w:t>Compliance monitoring</w:t>
            </w:r>
          </w:p>
        </w:tc>
      </w:tr>
    </w:tbl>
    <w:p w14:paraId="76631B3D" w14:textId="77777777" w:rsidR="00065694" w:rsidRDefault="00065694">
      <w:pPr>
        <w:spacing w:after="120"/>
      </w:pPr>
    </w:p>
    <w:p w14:paraId="5318EE57" w14:textId="77777777" w:rsidR="00065694" w:rsidRDefault="00000000">
      <w:pPr>
        <w:pStyle w:val="Heading2"/>
      </w:pPr>
      <w:r>
        <w:t>What We Own vs. What You Own</w:t>
      </w:r>
    </w:p>
    <w:p w14:paraId="7E7C711E" w14:textId="77777777" w:rsidR="00065694" w:rsidRDefault="00065694">
      <w:pPr>
        <w:spacing w:after="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40" w:type="dxa"/>
          <w:bottom w:w="60" w:type="dxa"/>
          <w:right w:w="140" w:type="dxa"/>
        </w:tblCellMar>
        <w:tblLook w:val="04A0" w:firstRow="1" w:lastRow="0" w:firstColumn="1" w:lastColumn="0" w:noHBand="0" w:noVBand="1"/>
      </w:tblPr>
      <w:tblGrid>
        <w:gridCol w:w="4514"/>
        <w:gridCol w:w="4510"/>
      </w:tblGrid>
      <w:tr w:rsidR="00065694" w14:paraId="17AACAA5" w14:textId="77777777">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A3461"/>
          </w:tcPr>
          <w:p w14:paraId="070C9339" w14:textId="77777777" w:rsidR="00065694" w:rsidRDefault="00000000">
            <w:pPr>
              <w:jc w:val="center"/>
            </w:pPr>
            <w:r>
              <w:rPr>
                <w:b/>
                <w:bCs/>
                <w:color w:val="FFFFFF"/>
                <w:sz w:val="20"/>
                <w:szCs w:val="20"/>
              </w:rPr>
              <w:t>WE DELIVER</w:t>
            </w:r>
          </w:p>
        </w:tc>
        <w:tc>
          <w:tcPr>
            <w:tcW w:w="4680" w:type="dxa"/>
            <w:tcBorders>
              <w:top w:val="single" w:sz="1" w:space="0" w:color="CCCCCC"/>
              <w:left w:val="single" w:sz="1" w:space="0" w:color="CCCCCC"/>
              <w:bottom w:val="single" w:sz="1" w:space="0" w:color="CCCCCC"/>
              <w:right w:val="single" w:sz="1" w:space="0" w:color="CCCCCC"/>
            </w:tcBorders>
            <w:shd w:val="clear" w:color="auto" w:fill="1A3461"/>
          </w:tcPr>
          <w:p w14:paraId="0878A6FC" w14:textId="77777777" w:rsidR="00065694" w:rsidRDefault="00000000">
            <w:pPr>
              <w:jc w:val="center"/>
            </w:pPr>
            <w:r>
              <w:rPr>
                <w:b/>
                <w:bCs/>
                <w:color w:val="FFFFFF"/>
                <w:sz w:val="20"/>
                <w:szCs w:val="20"/>
              </w:rPr>
              <w:t>YOU PROVIDE</w:t>
            </w:r>
          </w:p>
        </w:tc>
      </w:tr>
      <w:tr w:rsidR="00065694" w14:paraId="59BD43EC" w14:textId="77777777">
        <w:tc>
          <w:tcPr>
            <w:tcW w:w="4680" w:type="dxa"/>
            <w:tcBorders>
              <w:top w:val="single" w:sz="1" w:space="0" w:color="CCCCCC"/>
              <w:left w:val="single" w:sz="1" w:space="0" w:color="CCCCCC"/>
              <w:bottom w:val="single" w:sz="1" w:space="0" w:color="CCCCCC"/>
              <w:right w:val="single" w:sz="1" w:space="0" w:color="CCCCCC"/>
            </w:tcBorders>
          </w:tcPr>
          <w:p w14:paraId="0E2CDF28" w14:textId="77777777" w:rsidR="00065694" w:rsidRDefault="00000000">
            <w:pPr>
              <w:spacing w:before="50" w:after="50"/>
            </w:pPr>
            <w:r>
              <w:rPr>
                <w:color w:val="333333"/>
                <w:sz w:val="20"/>
                <w:szCs w:val="20"/>
              </w:rPr>
              <w:t>ASAM-aligned clinical protocol and SOPs</w:t>
            </w:r>
          </w:p>
        </w:tc>
        <w:tc>
          <w:tcPr>
            <w:tcW w:w="4680" w:type="dxa"/>
            <w:tcBorders>
              <w:top w:val="single" w:sz="1" w:space="0" w:color="CCCCCC"/>
              <w:left w:val="single" w:sz="1" w:space="0" w:color="CCCCCC"/>
              <w:bottom w:val="single" w:sz="1" w:space="0" w:color="CCCCCC"/>
              <w:right w:val="single" w:sz="1" w:space="0" w:color="CCCCCC"/>
            </w:tcBorders>
          </w:tcPr>
          <w:p w14:paraId="6A79B262" w14:textId="77777777" w:rsidR="00065694" w:rsidRDefault="00000000">
            <w:pPr>
              <w:spacing w:before="50" w:after="50"/>
            </w:pPr>
            <w:r>
              <w:rPr>
                <w:color w:val="333333"/>
                <w:sz w:val="20"/>
                <w:szCs w:val="20"/>
              </w:rPr>
              <w:t>Existing patient volume (minimum regular admissions)</w:t>
            </w:r>
          </w:p>
        </w:tc>
      </w:tr>
      <w:tr w:rsidR="00065694" w14:paraId="6EC7716A" w14:textId="77777777">
        <w:tc>
          <w:tcPr>
            <w:tcW w:w="4680" w:type="dxa"/>
            <w:tcBorders>
              <w:top w:val="single" w:sz="1" w:space="0" w:color="CCCCCC"/>
              <w:left w:val="single" w:sz="1" w:space="0" w:color="CCCCCC"/>
              <w:bottom w:val="single" w:sz="1" w:space="0" w:color="CCCCCC"/>
              <w:right w:val="single" w:sz="1" w:space="0" w:color="CCCCCC"/>
            </w:tcBorders>
            <w:shd w:val="clear" w:color="auto" w:fill="F0F4F8"/>
          </w:tcPr>
          <w:p w14:paraId="4CE3AB45" w14:textId="77777777" w:rsidR="00065694" w:rsidRDefault="00000000">
            <w:pPr>
              <w:spacing w:before="50" w:after="50"/>
            </w:pPr>
            <w:r>
              <w:rPr>
                <w:color w:val="333333"/>
                <w:sz w:val="20"/>
                <w:szCs w:val="20"/>
              </w:rPr>
              <w:t>Complete training program (clinical, admin, admissions)</w:t>
            </w:r>
          </w:p>
        </w:tc>
        <w:tc>
          <w:tcPr>
            <w:tcW w:w="4680" w:type="dxa"/>
            <w:tcBorders>
              <w:top w:val="single" w:sz="1" w:space="0" w:color="CCCCCC"/>
              <w:left w:val="single" w:sz="1" w:space="0" w:color="CCCCCC"/>
              <w:bottom w:val="single" w:sz="1" w:space="0" w:color="CCCCCC"/>
              <w:right w:val="single" w:sz="1" w:space="0" w:color="CCCCCC"/>
            </w:tcBorders>
            <w:shd w:val="clear" w:color="auto" w:fill="F0F4F8"/>
          </w:tcPr>
          <w:p w14:paraId="552E5D8B" w14:textId="77777777" w:rsidR="00065694" w:rsidRDefault="00000000">
            <w:pPr>
              <w:spacing w:before="50" w:after="50"/>
            </w:pPr>
            <w:r>
              <w:rPr>
                <w:color w:val="333333"/>
                <w:sz w:val="20"/>
                <w:szCs w:val="20"/>
              </w:rPr>
              <w:t>Part-time medical team or willingness to hire</w:t>
            </w:r>
          </w:p>
        </w:tc>
      </w:tr>
      <w:tr w:rsidR="00065694" w14:paraId="34A5E035" w14:textId="77777777">
        <w:tc>
          <w:tcPr>
            <w:tcW w:w="4680" w:type="dxa"/>
            <w:tcBorders>
              <w:top w:val="single" w:sz="1" w:space="0" w:color="CCCCCC"/>
              <w:left w:val="single" w:sz="1" w:space="0" w:color="CCCCCC"/>
              <w:bottom w:val="single" w:sz="1" w:space="0" w:color="CCCCCC"/>
              <w:right w:val="single" w:sz="1" w:space="0" w:color="CCCCCC"/>
            </w:tcBorders>
          </w:tcPr>
          <w:p w14:paraId="7456DA21" w14:textId="77777777" w:rsidR="00065694" w:rsidRDefault="00000000">
            <w:pPr>
              <w:spacing w:before="50" w:after="50"/>
            </w:pPr>
            <w:r>
              <w:rPr>
                <w:color w:val="333333"/>
                <w:sz w:val="20"/>
                <w:szCs w:val="20"/>
              </w:rPr>
              <w:t>AI-backed reporting and dashboard platform</w:t>
            </w:r>
          </w:p>
        </w:tc>
        <w:tc>
          <w:tcPr>
            <w:tcW w:w="4680" w:type="dxa"/>
            <w:tcBorders>
              <w:top w:val="single" w:sz="1" w:space="0" w:color="CCCCCC"/>
              <w:left w:val="single" w:sz="1" w:space="0" w:color="CCCCCC"/>
              <w:bottom w:val="single" w:sz="1" w:space="0" w:color="CCCCCC"/>
              <w:right w:val="single" w:sz="1" w:space="0" w:color="CCCCCC"/>
            </w:tcBorders>
          </w:tcPr>
          <w:p w14:paraId="42FB101C" w14:textId="77777777" w:rsidR="00065694" w:rsidRDefault="00000000">
            <w:pPr>
              <w:spacing w:before="50" w:after="50"/>
            </w:pPr>
            <w:r>
              <w:rPr>
                <w:color w:val="333333"/>
                <w:sz w:val="20"/>
                <w:szCs w:val="20"/>
              </w:rPr>
              <w:t>2 offices, waiting room, bathroom (existing space)</w:t>
            </w:r>
          </w:p>
        </w:tc>
      </w:tr>
      <w:tr w:rsidR="00065694" w14:paraId="24776B04" w14:textId="77777777">
        <w:tc>
          <w:tcPr>
            <w:tcW w:w="4680" w:type="dxa"/>
            <w:tcBorders>
              <w:top w:val="single" w:sz="1" w:space="0" w:color="CCCCCC"/>
              <w:left w:val="single" w:sz="1" w:space="0" w:color="CCCCCC"/>
              <w:bottom w:val="single" w:sz="1" w:space="0" w:color="CCCCCC"/>
              <w:right w:val="single" w:sz="1" w:space="0" w:color="CCCCCC"/>
            </w:tcBorders>
            <w:shd w:val="clear" w:color="auto" w:fill="F0F4F8"/>
          </w:tcPr>
          <w:p w14:paraId="5A972985" w14:textId="77777777" w:rsidR="00065694" w:rsidRDefault="00000000">
            <w:pPr>
              <w:spacing w:before="50" w:after="50"/>
            </w:pPr>
            <w:r>
              <w:rPr>
                <w:color w:val="333333"/>
                <w:sz w:val="20"/>
                <w:szCs w:val="20"/>
              </w:rPr>
              <w:t>Billing setup, code configuration, payer strategy</w:t>
            </w:r>
          </w:p>
        </w:tc>
        <w:tc>
          <w:tcPr>
            <w:tcW w:w="4680" w:type="dxa"/>
            <w:tcBorders>
              <w:top w:val="single" w:sz="1" w:space="0" w:color="CCCCCC"/>
              <w:left w:val="single" w:sz="1" w:space="0" w:color="CCCCCC"/>
              <w:bottom w:val="single" w:sz="1" w:space="0" w:color="CCCCCC"/>
              <w:right w:val="single" w:sz="1" w:space="0" w:color="CCCCCC"/>
            </w:tcBorders>
            <w:shd w:val="clear" w:color="auto" w:fill="F0F4F8"/>
          </w:tcPr>
          <w:p w14:paraId="7420AC1B" w14:textId="77777777" w:rsidR="00065694" w:rsidRDefault="00000000">
            <w:pPr>
              <w:spacing w:before="50" w:after="50"/>
            </w:pPr>
            <w:r>
              <w:rPr>
                <w:color w:val="333333"/>
                <w:sz w:val="20"/>
                <w:szCs w:val="20"/>
              </w:rPr>
              <w:t>State licensing (we assist with applications)</w:t>
            </w:r>
          </w:p>
        </w:tc>
      </w:tr>
      <w:tr w:rsidR="00065694" w14:paraId="30E0FD30" w14:textId="77777777">
        <w:tc>
          <w:tcPr>
            <w:tcW w:w="4680" w:type="dxa"/>
            <w:tcBorders>
              <w:top w:val="single" w:sz="1" w:space="0" w:color="CCCCCC"/>
              <w:left w:val="single" w:sz="1" w:space="0" w:color="CCCCCC"/>
              <w:bottom w:val="single" w:sz="1" w:space="0" w:color="CCCCCC"/>
              <w:right w:val="single" w:sz="1" w:space="0" w:color="CCCCCC"/>
            </w:tcBorders>
          </w:tcPr>
          <w:p w14:paraId="14513ED0" w14:textId="77777777" w:rsidR="00065694" w:rsidRDefault="00000000">
            <w:pPr>
              <w:spacing w:before="50" w:after="50"/>
            </w:pPr>
            <w:r>
              <w:rPr>
                <w:color w:val="333333"/>
                <w:sz w:val="20"/>
                <w:szCs w:val="20"/>
              </w:rPr>
              <w:t>Ongoing monitoring, optimization, and support</w:t>
            </w:r>
          </w:p>
        </w:tc>
        <w:tc>
          <w:tcPr>
            <w:tcW w:w="4680" w:type="dxa"/>
            <w:tcBorders>
              <w:top w:val="single" w:sz="1" w:space="0" w:color="CCCCCC"/>
              <w:left w:val="single" w:sz="1" w:space="0" w:color="CCCCCC"/>
              <w:bottom w:val="single" w:sz="1" w:space="0" w:color="CCCCCC"/>
              <w:right w:val="single" w:sz="1" w:space="0" w:color="CCCCCC"/>
            </w:tcBorders>
          </w:tcPr>
          <w:p w14:paraId="0BE37A8C" w14:textId="77777777" w:rsidR="00065694" w:rsidRDefault="00000000">
            <w:pPr>
              <w:spacing w:before="50" w:after="50"/>
            </w:pPr>
            <w:r>
              <w:rPr>
                <w:color w:val="333333"/>
                <w:sz w:val="20"/>
                <w:szCs w:val="20"/>
              </w:rPr>
              <w:t>Weekly scorecard input (one form, once a week)</w:t>
            </w:r>
          </w:p>
        </w:tc>
      </w:tr>
    </w:tbl>
    <w:p w14:paraId="425DFA59" w14:textId="77777777" w:rsidR="00065694" w:rsidRDefault="00065694">
      <w:pPr>
        <w:spacing w:after="120"/>
      </w:pPr>
    </w:p>
    <w:p w14:paraId="2A59EEFE" w14:textId="77777777" w:rsidR="00065694" w:rsidRDefault="00000000">
      <w:pPr>
        <w:pStyle w:val="Heading2"/>
      </w:pPr>
      <w:r>
        <w:t>Readiness Checklist</w:t>
      </w:r>
    </w:p>
    <w:p w14:paraId="573244C3" w14:textId="77777777" w:rsidR="00065694" w:rsidRDefault="00000000">
      <w:pPr>
        <w:spacing w:after="160"/>
      </w:pPr>
      <w:r>
        <w:rPr>
          <w:color w:val="333333"/>
        </w:rPr>
        <w:t>Use this to self-qualify before requesting a Growth Map Session:</w:t>
      </w:r>
    </w:p>
    <w:p w14:paraId="3E84D969" w14:textId="77777777" w:rsidR="00065694" w:rsidRDefault="00000000">
      <w:pPr>
        <w:pStyle w:val="ListParagraph"/>
        <w:numPr>
          <w:ilvl w:val="0"/>
          <w:numId w:val="7"/>
        </w:numPr>
        <w:spacing w:after="80"/>
      </w:pPr>
      <w:r>
        <w:rPr>
          <w:color w:val="333333"/>
        </w:rPr>
        <w:t>Do you currently see patients who need detox before or during treatment?</w:t>
      </w:r>
    </w:p>
    <w:p w14:paraId="0995728E" w14:textId="77777777" w:rsidR="00065694" w:rsidRDefault="00000000">
      <w:pPr>
        <w:pStyle w:val="ListParagraph"/>
        <w:numPr>
          <w:ilvl w:val="0"/>
          <w:numId w:val="7"/>
        </w:numPr>
        <w:spacing w:after="80"/>
      </w:pPr>
      <w:r>
        <w:rPr>
          <w:color w:val="333333"/>
        </w:rPr>
        <w:t>Do you have (or can you hire) a part-time medical team?</w:t>
      </w:r>
    </w:p>
    <w:p w14:paraId="45586A28" w14:textId="77777777" w:rsidR="00065694" w:rsidRDefault="00000000">
      <w:pPr>
        <w:pStyle w:val="ListParagraph"/>
        <w:numPr>
          <w:ilvl w:val="0"/>
          <w:numId w:val="7"/>
        </w:numPr>
        <w:spacing w:after="80"/>
      </w:pPr>
      <w:r>
        <w:rPr>
          <w:color w:val="333333"/>
        </w:rPr>
        <w:t>Do you have 2 offices and a waiting area available (or within your current facility)?</w:t>
      </w:r>
    </w:p>
    <w:p w14:paraId="6BED5FB0" w14:textId="77777777" w:rsidR="00065694" w:rsidRDefault="00000000">
      <w:pPr>
        <w:pStyle w:val="ListParagraph"/>
        <w:numPr>
          <w:ilvl w:val="0"/>
          <w:numId w:val="7"/>
        </w:numPr>
        <w:spacing w:after="80"/>
      </w:pPr>
      <w:r>
        <w:rPr>
          <w:color w:val="333333"/>
        </w:rPr>
        <w:t>Is your state licensing status clear, or are you willing to pursue it?</w:t>
      </w:r>
    </w:p>
    <w:p w14:paraId="0C7CD701" w14:textId="77777777" w:rsidR="00065694" w:rsidRDefault="00000000">
      <w:pPr>
        <w:pStyle w:val="ListParagraph"/>
        <w:numPr>
          <w:ilvl w:val="0"/>
          <w:numId w:val="7"/>
        </w:numPr>
        <w:spacing w:after="80"/>
      </w:pPr>
      <w:r>
        <w:rPr>
          <w:color w:val="333333"/>
        </w:rPr>
        <w:t>Does your leadership team want to evaluate this within the next 90 days?</w:t>
      </w:r>
    </w:p>
    <w:p w14:paraId="2C5102C7" w14:textId="77777777" w:rsidR="00065694" w:rsidRDefault="00065694">
      <w:pPr>
        <w:spacing w:after="40"/>
      </w:pPr>
    </w:p>
    <w:p w14:paraId="3AE455B9" w14:textId="77777777" w:rsidR="00065694" w:rsidRDefault="00000000">
      <w:pPr>
        <w:spacing w:after="160"/>
      </w:pPr>
      <w:r>
        <w:rPr>
          <w:color w:val="333333"/>
        </w:rPr>
        <w:t>If you answered yes to three or more of these, a Growth Map Session will give you a definitive answer on feasibility.</w:t>
      </w:r>
    </w:p>
    <w:p w14:paraId="64B97458" w14:textId="77777777" w:rsidR="00065694" w:rsidRDefault="00000000">
      <w:r>
        <w:br w:type="page"/>
      </w:r>
    </w:p>
    <w:p w14:paraId="39B14184" w14:textId="77777777" w:rsidR="00065694" w:rsidRDefault="00000000">
      <w:pPr>
        <w:pStyle w:val="Heading1"/>
      </w:pPr>
      <w:r>
        <w:lastRenderedPageBreak/>
        <w:t>COMMON QUESTIONS</w:t>
      </w:r>
    </w:p>
    <w:p w14:paraId="602B2DDB" w14:textId="77777777" w:rsidR="00065694" w:rsidRDefault="00065694">
      <w:pPr>
        <w:spacing w:after="40"/>
      </w:pPr>
    </w:p>
    <w:p w14:paraId="738B20A5" w14:textId="77777777" w:rsidR="00065694" w:rsidRDefault="00000000">
      <w:pPr>
        <w:spacing w:after="160"/>
      </w:pPr>
      <w:r>
        <w:rPr>
          <w:b/>
          <w:bCs/>
          <w:color w:val="1A3461"/>
          <w:sz w:val="24"/>
          <w:szCs w:val="24"/>
        </w:rPr>
        <w:t>"Is $425/day realistic in our market?"</w:t>
      </w:r>
    </w:p>
    <w:p w14:paraId="3B703DF9" w14:textId="77777777" w:rsidR="00065694" w:rsidRDefault="00000000">
      <w:pPr>
        <w:spacing w:after="160"/>
      </w:pPr>
      <w:r>
        <w:rPr>
          <w:color w:val="333333"/>
        </w:rPr>
        <w:t>$425/day is based on state program reimbursement rates in the Mountain West. Private insurance and well-funded state programs typically pay $400–$850+ per day. We use the most conservative government rate as the baseline specifically because no one can argue it is inflated. Your actual reimbursement will likely be higher.</w:t>
      </w:r>
    </w:p>
    <w:p w14:paraId="5C063FD0" w14:textId="77777777" w:rsidR="00065694" w:rsidRDefault="00065694">
      <w:pPr>
        <w:spacing w:after="80"/>
      </w:pPr>
    </w:p>
    <w:p w14:paraId="76CAFDE7" w14:textId="77777777" w:rsidR="00065694" w:rsidRDefault="00000000">
      <w:pPr>
        <w:spacing w:after="160"/>
      </w:pPr>
      <w:r>
        <w:rPr>
          <w:b/>
          <w:bCs/>
          <w:color w:val="1A3461"/>
          <w:sz w:val="24"/>
          <w:szCs w:val="24"/>
        </w:rPr>
        <w:t>"What about the guardian requirement?"</w:t>
      </w:r>
    </w:p>
    <w:p w14:paraId="647B83F9" w14:textId="77777777" w:rsidR="00065694" w:rsidRDefault="00000000">
      <w:pPr>
        <w:spacing w:after="160"/>
      </w:pPr>
      <w:r>
        <w:rPr>
          <w:color w:val="333333"/>
        </w:rPr>
        <w:t>A guardian is simply someone who cares about the patient: a spouse, family member, or friend who administers medication and comes to meetings. It is not 24/7 surveillance. Couples frequently report the process helped strengthen their relationship. For patients without a natural guardian, sober living staff or professional caregivers can fill the role.</w:t>
      </w:r>
    </w:p>
    <w:p w14:paraId="7182C770" w14:textId="77777777" w:rsidR="00065694" w:rsidRDefault="00065694">
      <w:pPr>
        <w:spacing w:after="80"/>
      </w:pPr>
    </w:p>
    <w:p w14:paraId="412A07AD" w14:textId="77777777" w:rsidR="00065694" w:rsidRDefault="00000000">
      <w:pPr>
        <w:spacing w:after="160"/>
      </w:pPr>
      <w:r>
        <w:rPr>
          <w:b/>
          <w:bCs/>
          <w:color w:val="1A3461"/>
          <w:sz w:val="24"/>
          <w:szCs w:val="24"/>
        </w:rPr>
        <w:t>"Does our state require a separate license?"</w:t>
      </w:r>
    </w:p>
    <w:p w14:paraId="04755896" w14:textId="77777777" w:rsidR="00065694" w:rsidRDefault="00000000">
      <w:pPr>
        <w:spacing w:after="160"/>
      </w:pPr>
      <w:r>
        <w:rPr>
          <w:color w:val="333333"/>
        </w:rPr>
        <w:t xml:space="preserve">Licensing requirements vary by state. Some states require a specific ambulatory detox license; others do not. The typical process </w:t>
      </w:r>
      <w:proofErr w:type="gramStart"/>
      <w:r>
        <w:rPr>
          <w:color w:val="333333"/>
        </w:rPr>
        <w:t>is:</w:t>
      </w:r>
      <w:proofErr w:type="gramEnd"/>
      <w:r>
        <w:rPr>
          <w:color w:val="333333"/>
        </w:rPr>
        <w:t xml:space="preserve"> application, 2–</w:t>
      </w:r>
      <w:proofErr w:type="gramStart"/>
      <w:r>
        <w:rPr>
          <w:color w:val="333333"/>
        </w:rPr>
        <w:t>3 week</w:t>
      </w:r>
      <w:proofErr w:type="gramEnd"/>
      <w:r>
        <w:rPr>
          <w:color w:val="333333"/>
        </w:rPr>
        <w:t xml:space="preserve"> response, on-site visit within a month, temporary license for one year. We assist with the licensing process and can advise on your specific state during the Growth Map Session.</w:t>
      </w:r>
    </w:p>
    <w:p w14:paraId="24D412B7" w14:textId="77777777" w:rsidR="00065694" w:rsidRDefault="00065694">
      <w:pPr>
        <w:spacing w:after="80"/>
      </w:pPr>
    </w:p>
    <w:p w14:paraId="76DEAE00" w14:textId="77777777" w:rsidR="00065694" w:rsidRDefault="00000000">
      <w:pPr>
        <w:spacing w:after="160"/>
      </w:pPr>
      <w:r>
        <w:rPr>
          <w:b/>
          <w:bCs/>
          <w:color w:val="1A3461"/>
          <w:sz w:val="24"/>
          <w:szCs w:val="24"/>
        </w:rPr>
        <w:t>"We already have a billing company. Would this conflict?"</w:t>
      </w:r>
    </w:p>
    <w:p w14:paraId="57C626B1" w14:textId="77777777" w:rsidR="00065694" w:rsidRDefault="00000000">
      <w:pPr>
        <w:spacing w:after="160"/>
      </w:pPr>
      <w:r>
        <w:rPr>
          <w:color w:val="333333"/>
        </w:rPr>
        <w:t>It is the opposite of a conflict. Our reporting platform monitors your billing company to make sure they are performing. Many billing companies secure authorization but never negotiate the contracted rate, so the insurance company can underpay without accountability. The dashboard tracks contracted vs. actual paid, flags underpayments, and shows you whether your billing company is leaving money on the table.</w:t>
      </w:r>
    </w:p>
    <w:p w14:paraId="67C73555" w14:textId="77777777" w:rsidR="00065694" w:rsidRDefault="00065694">
      <w:pPr>
        <w:spacing w:after="80"/>
      </w:pPr>
    </w:p>
    <w:p w14:paraId="6055E055" w14:textId="77777777" w:rsidR="00065694" w:rsidRDefault="00000000">
      <w:pPr>
        <w:spacing w:after="160"/>
      </w:pPr>
      <w:r>
        <w:rPr>
          <w:b/>
          <w:bCs/>
          <w:color w:val="1A3461"/>
          <w:sz w:val="24"/>
          <w:szCs w:val="24"/>
        </w:rPr>
        <w:t>"What if this doesn’t pencil out for our program?"</w:t>
      </w:r>
    </w:p>
    <w:p w14:paraId="598C10A4" w14:textId="77777777" w:rsidR="00065694" w:rsidRDefault="00000000">
      <w:pPr>
        <w:spacing w:after="160"/>
      </w:pPr>
      <w:r>
        <w:rPr>
          <w:color w:val="333333"/>
        </w:rPr>
        <w:t xml:space="preserve">That is exactly what the Growth Map Session is designed to determine. We plug your actual census, your state, and </w:t>
      </w:r>
      <w:proofErr w:type="gramStart"/>
      <w:r>
        <w:rPr>
          <w:color w:val="333333"/>
        </w:rPr>
        <w:t>your</w:t>
      </w:r>
      <w:proofErr w:type="gramEnd"/>
      <w:r>
        <w:rPr>
          <w:color w:val="333333"/>
        </w:rPr>
        <w:t xml:space="preserve"> staffing into the model. If it does not work, we will tell you in the first 15 minutes and end the call. We do not benefit from convincing centers to launch a program that will fail.</w:t>
      </w:r>
    </w:p>
    <w:p w14:paraId="6D6755C4" w14:textId="77777777" w:rsidR="00065694" w:rsidRDefault="00065694">
      <w:pPr>
        <w:spacing w:after="80"/>
      </w:pPr>
    </w:p>
    <w:p w14:paraId="30523983" w14:textId="77777777" w:rsidR="00065694" w:rsidRDefault="00000000">
      <w:pPr>
        <w:spacing w:after="160"/>
      </w:pPr>
      <w:r>
        <w:rPr>
          <w:b/>
          <w:bCs/>
          <w:color w:val="1A3461"/>
          <w:sz w:val="24"/>
          <w:szCs w:val="24"/>
        </w:rPr>
        <w:t>"How long before we see revenue?"</w:t>
      </w:r>
    </w:p>
    <w:p w14:paraId="5D75336D" w14:textId="77777777" w:rsidR="00065694" w:rsidRDefault="00000000">
      <w:pPr>
        <w:spacing w:after="160"/>
      </w:pPr>
      <w:r>
        <w:rPr>
          <w:color w:val="333333"/>
        </w:rPr>
        <w:t>Implementation takes 3–4 months. Programs with strong existing patient flow and available staff have seen revenue from month one of launch. The AI-backed onboarding accelerates setup by drafting your SOPs, dashboards, and reporting structures from your existing workflows rather than starting from scratch.</w:t>
      </w:r>
    </w:p>
    <w:p w14:paraId="7442B875" w14:textId="77777777" w:rsidR="00065694" w:rsidRDefault="00000000">
      <w:r>
        <w:br w:type="page"/>
      </w:r>
    </w:p>
    <w:p w14:paraId="3EAB54DE" w14:textId="77777777" w:rsidR="00065694" w:rsidRDefault="00000000">
      <w:pPr>
        <w:pStyle w:val="Heading1"/>
      </w:pPr>
      <w:r>
        <w:lastRenderedPageBreak/>
        <w:t>YOUR NEXT STEP: THE AMBULATORY DETOX GROWTH MAP SESSION</w:t>
      </w:r>
    </w:p>
    <w:p w14:paraId="4DE3A5EF" w14:textId="77777777" w:rsidR="00065694" w:rsidRDefault="00065694">
      <w:pPr>
        <w:spacing w:after="80"/>
      </w:pPr>
    </w:p>
    <w:p w14:paraId="3161A122" w14:textId="77777777" w:rsidR="00065694" w:rsidRDefault="00000000">
      <w:pPr>
        <w:spacing w:after="160"/>
      </w:pPr>
      <w:r>
        <w:rPr>
          <w:color w:val="333333"/>
        </w:rPr>
        <w:t>Everything in this white paper is context for one question:</w:t>
      </w:r>
    </w:p>
    <w:p w14:paraId="096F70FE" w14:textId="77777777" w:rsidR="00065694" w:rsidRDefault="00065694">
      <w:pPr>
        <w:spacing w:after="40"/>
      </w:pPr>
    </w:p>
    <w:p w14:paraId="134E795F" w14:textId="77777777" w:rsidR="00065694" w:rsidRDefault="00000000">
      <w:pPr>
        <w:spacing w:after="200"/>
        <w:jc w:val="center"/>
      </w:pPr>
      <w:r>
        <w:rPr>
          <w:i/>
          <w:iCs/>
          <w:color w:val="1A3461"/>
          <w:sz w:val="28"/>
          <w:szCs w:val="28"/>
        </w:rPr>
        <w:t>"What would an ambulatory detox line look like in my program?"</w:t>
      </w:r>
    </w:p>
    <w:p w14:paraId="4492F4B9" w14:textId="77777777" w:rsidR="00065694" w:rsidRDefault="00065694">
      <w:pPr>
        <w:spacing w:after="40"/>
      </w:pPr>
    </w:p>
    <w:p w14:paraId="54C3346C" w14:textId="77777777" w:rsidR="00065694" w:rsidRDefault="00000000">
      <w:pPr>
        <w:spacing w:after="160"/>
      </w:pPr>
      <w:r>
        <w:rPr>
          <w:color w:val="333333"/>
        </w:rPr>
        <w:t>The Ambulatory Detox Growth Map Session answers that question in 45 minutes. It is not a sales call. It is a working session with your leadership team.</w:t>
      </w:r>
    </w:p>
    <w:p w14:paraId="5FBEFD8E" w14:textId="77777777" w:rsidR="00065694" w:rsidRDefault="00065694">
      <w:pPr>
        <w:spacing w:after="80"/>
      </w:pPr>
    </w:p>
    <w:p w14:paraId="3D12271F" w14:textId="77777777" w:rsidR="00065694" w:rsidRDefault="00000000">
      <w:pPr>
        <w:pStyle w:val="Heading2"/>
      </w:pPr>
      <w:r>
        <w:t>What You Walk Away With</w:t>
      </w:r>
    </w:p>
    <w:p w14:paraId="7C73B7BC" w14:textId="77777777" w:rsidR="00065694" w:rsidRDefault="00000000">
      <w:pPr>
        <w:pStyle w:val="ListParagraph"/>
        <w:numPr>
          <w:ilvl w:val="0"/>
          <w:numId w:val="8"/>
        </w:numPr>
        <w:spacing w:after="80"/>
      </w:pPr>
      <w:r>
        <w:rPr>
          <w:b/>
          <w:bCs/>
          <w:color w:val="333333"/>
        </w:rPr>
        <w:t xml:space="preserve">Custom 12-month ambulatory detox revenue projection </w:t>
      </w:r>
      <w:r>
        <w:rPr>
          <w:color w:val="333333"/>
        </w:rPr>
        <w:t>using your actual census, your patient mix, and conservative $425/day assumptions</w:t>
      </w:r>
    </w:p>
    <w:p w14:paraId="7E5CA194" w14:textId="77777777" w:rsidR="00065694" w:rsidRDefault="00000000">
      <w:pPr>
        <w:pStyle w:val="ListParagraph"/>
        <w:numPr>
          <w:ilvl w:val="0"/>
          <w:numId w:val="8"/>
        </w:numPr>
        <w:spacing w:after="80"/>
      </w:pPr>
      <w:r>
        <w:rPr>
          <w:b/>
          <w:bCs/>
          <w:color w:val="333333"/>
        </w:rPr>
        <w:t xml:space="preserve">Operational and licensing feasibility check </w:t>
      </w:r>
      <w:r>
        <w:rPr>
          <w:color w:val="333333"/>
        </w:rPr>
        <w:t>for your specific state, staffing, and facility</w:t>
      </w:r>
    </w:p>
    <w:p w14:paraId="42AF9564" w14:textId="77777777" w:rsidR="00065694" w:rsidRDefault="00000000">
      <w:pPr>
        <w:pStyle w:val="ListParagraph"/>
        <w:numPr>
          <w:ilvl w:val="0"/>
          <w:numId w:val="8"/>
        </w:numPr>
        <w:spacing w:after="80"/>
      </w:pPr>
      <w:r>
        <w:rPr>
          <w:b/>
          <w:bCs/>
          <w:color w:val="333333"/>
        </w:rPr>
        <w:t xml:space="preserve">AI-backed onboarding and reporting stack overview </w:t>
      </w:r>
      <w:r>
        <w:rPr>
          <w:color w:val="333333"/>
        </w:rPr>
        <w:t>— what the training, dashboards, and monitoring would look like in your operation</w:t>
      </w:r>
    </w:p>
    <w:p w14:paraId="6502E316" w14:textId="77777777" w:rsidR="00065694" w:rsidRDefault="00000000">
      <w:pPr>
        <w:pStyle w:val="ListParagraph"/>
        <w:numPr>
          <w:ilvl w:val="0"/>
          <w:numId w:val="8"/>
        </w:numPr>
        <w:spacing w:after="80"/>
      </w:pPr>
      <w:r>
        <w:rPr>
          <w:b/>
          <w:bCs/>
          <w:color w:val="333333"/>
        </w:rPr>
        <w:t xml:space="preserve">Clear yes or no on feasibility </w:t>
      </w:r>
      <w:r>
        <w:rPr>
          <w:color w:val="333333"/>
        </w:rPr>
        <w:t>— no ambiguity, no “let us get back to you”</w:t>
      </w:r>
    </w:p>
    <w:p w14:paraId="3ACEA0F4" w14:textId="77777777" w:rsidR="00065694" w:rsidRDefault="00065694">
      <w:pPr>
        <w:spacing w:after="12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200" w:type="dxa"/>
          <w:bottom w:w="120" w:type="dxa"/>
          <w:right w:w="200" w:type="dxa"/>
        </w:tblCellMar>
        <w:tblLook w:val="04A0" w:firstRow="1" w:lastRow="0" w:firstColumn="1" w:lastColumn="0" w:noHBand="0" w:noVBand="1"/>
      </w:tblPr>
      <w:tblGrid>
        <w:gridCol w:w="9013"/>
      </w:tblGrid>
      <w:tr w:rsidR="00065694" w14:paraId="458DF20D" w14:textId="77777777">
        <w:tc>
          <w:tcPr>
            <w:tcW w:w="9360" w:type="dxa"/>
            <w:tcBorders>
              <w:top w:val="single" w:sz="2" w:space="0" w:color="C4A74E"/>
              <w:left w:val="single" w:sz="8" w:space="0" w:color="C4A74E"/>
              <w:bottom w:val="single" w:sz="2" w:space="0" w:color="C4A74E"/>
              <w:right w:val="single" w:sz="2" w:space="0" w:color="C4A74E"/>
            </w:tcBorders>
            <w:shd w:val="clear" w:color="auto" w:fill="F7F4EE"/>
          </w:tcPr>
          <w:p w14:paraId="240181F1" w14:textId="77777777" w:rsidR="00065694" w:rsidRDefault="00000000">
            <w:pPr>
              <w:spacing w:after="80"/>
            </w:pPr>
            <w:r>
              <w:rPr>
                <w:b/>
                <w:bCs/>
                <w:color w:val="1A3461"/>
                <w:sz w:val="24"/>
                <w:szCs w:val="24"/>
              </w:rPr>
              <w:t>RISK REMOVAL</w:t>
            </w:r>
          </w:p>
          <w:p w14:paraId="68E2B119" w14:textId="77777777" w:rsidR="00065694" w:rsidRDefault="00000000">
            <w:pPr>
              <w:spacing w:after="80"/>
            </w:pPr>
            <w:r>
              <w:rPr>
                <w:color w:val="1A3461"/>
              </w:rPr>
              <w:t xml:space="preserve">If it doesn’t </w:t>
            </w:r>
            <w:proofErr w:type="gramStart"/>
            <w:r>
              <w:rPr>
                <w:color w:val="1A3461"/>
              </w:rPr>
              <w:t>pencil</w:t>
            </w:r>
            <w:proofErr w:type="gramEnd"/>
            <w:r>
              <w:rPr>
                <w:color w:val="1A3461"/>
              </w:rPr>
              <w:t xml:space="preserve"> out, we’ll tell you in the first 15 minutes and end the call.</w:t>
            </w:r>
          </w:p>
          <w:p w14:paraId="5BB0EEE9" w14:textId="77777777" w:rsidR="00065694" w:rsidRDefault="00000000">
            <w:pPr>
              <w:spacing w:after="80"/>
            </w:pPr>
            <w:r>
              <w:rPr>
                <w:color w:val="1A3461"/>
              </w:rPr>
              <w:t>No pitch. No pressure. No follow-up sequence.</w:t>
            </w:r>
          </w:p>
          <w:p w14:paraId="2DCA50E3" w14:textId="77777777" w:rsidR="00065694" w:rsidRDefault="00000000">
            <w:pPr>
              <w:spacing w:after="80"/>
            </w:pPr>
            <w:r>
              <w:rPr>
                <w:i/>
                <w:iCs/>
                <w:color w:val="1A3461"/>
              </w:rPr>
              <w:t>If the numbers don’t work for your program, we would rather you know that immediately than waste anyone’s time.</w:t>
            </w:r>
          </w:p>
        </w:tc>
      </w:tr>
    </w:tbl>
    <w:p w14:paraId="718BB18A" w14:textId="77777777" w:rsidR="00065694" w:rsidRDefault="00065694">
      <w:pPr>
        <w:spacing w:after="2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200" w:type="dxa"/>
          <w:bottom w:w="160" w:type="dxa"/>
          <w:right w:w="200" w:type="dxa"/>
        </w:tblCellMar>
        <w:tblLook w:val="04A0" w:firstRow="1" w:lastRow="0" w:firstColumn="1" w:lastColumn="0" w:noHBand="0" w:noVBand="1"/>
      </w:tblPr>
      <w:tblGrid>
        <w:gridCol w:w="9016"/>
      </w:tblGrid>
      <w:tr w:rsidR="00065694" w14:paraId="4C2E85CA" w14:textId="77777777">
        <w:tc>
          <w:tcPr>
            <w:tcW w:w="9360" w:type="dxa"/>
            <w:tcBorders>
              <w:top w:val="single" w:sz="4" w:space="0" w:color="1A3461"/>
              <w:left w:val="single" w:sz="4" w:space="0" w:color="1A3461"/>
              <w:bottom w:val="single" w:sz="4" w:space="0" w:color="1A3461"/>
              <w:right w:val="single" w:sz="4" w:space="0" w:color="1A3461"/>
            </w:tcBorders>
            <w:shd w:val="clear" w:color="auto" w:fill="1A3461"/>
          </w:tcPr>
          <w:p w14:paraId="1726ECA7" w14:textId="77777777" w:rsidR="00065694" w:rsidRDefault="00000000">
            <w:pPr>
              <w:spacing w:before="80" w:after="40"/>
              <w:jc w:val="center"/>
            </w:pPr>
            <w:r>
              <w:rPr>
                <w:b/>
                <w:bCs/>
                <w:color w:val="FFFFFF"/>
                <w:sz w:val="26"/>
                <w:szCs w:val="26"/>
              </w:rPr>
              <w:t>REQUEST YOUR AMBULATORY DETOX GROWTH MAP SESSION</w:t>
            </w:r>
          </w:p>
          <w:p w14:paraId="4B517D56" w14:textId="77777777" w:rsidR="00065694" w:rsidRDefault="00000000">
            <w:pPr>
              <w:spacing w:after="40"/>
              <w:jc w:val="center"/>
            </w:pPr>
            <w:r>
              <w:rPr>
                <w:color w:val="B0C4DE"/>
                <w:sz w:val="20"/>
                <w:szCs w:val="20"/>
              </w:rPr>
              <w:t xml:space="preserve">Mike </w:t>
            </w:r>
            <w:proofErr w:type="gramStart"/>
            <w:r>
              <w:rPr>
                <w:color w:val="B0C4DE"/>
                <w:sz w:val="20"/>
                <w:szCs w:val="20"/>
              </w:rPr>
              <w:t>Webb  |</w:t>
            </w:r>
            <w:proofErr w:type="gramEnd"/>
            <w:r>
              <w:rPr>
                <w:color w:val="B0C4DE"/>
                <w:sz w:val="20"/>
                <w:szCs w:val="20"/>
              </w:rPr>
              <w:t xml:space="preserve">  B&amp;W </w:t>
            </w:r>
            <w:proofErr w:type="gramStart"/>
            <w:r>
              <w:rPr>
                <w:color w:val="B0C4DE"/>
                <w:sz w:val="20"/>
                <w:szCs w:val="20"/>
              </w:rPr>
              <w:t>Consultants  |</w:t>
            </w:r>
            <w:proofErr w:type="gramEnd"/>
            <w:r>
              <w:rPr>
                <w:color w:val="B0C4DE"/>
                <w:sz w:val="20"/>
                <w:szCs w:val="20"/>
              </w:rPr>
              <w:t xml:space="preserve">  801-679-9266</w:t>
            </w:r>
          </w:p>
          <w:p w14:paraId="10422EB4" w14:textId="77777777" w:rsidR="00065694" w:rsidRDefault="00000000">
            <w:pPr>
              <w:spacing w:after="40"/>
              <w:jc w:val="center"/>
            </w:pPr>
            <w:r>
              <w:rPr>
                <w:color w:val="B0C4DE"/>
                <w:sz w:val="20"/>
                <w:szCs w:val="20"/>
              </w:rPr>
              <w:t xml:space="preserve">Robert </w:t>
            </w:r>
            <w:proofErr w:type="gramStart"/>
            <w:r>
              <w:rPr>
                <w:color w:val="B0C4DE"/>
                <w:sz w:val="20"/>
                <w:szCs w:val="20"/>
              </w:rPr>
              <w:t>Randall  |</w:t>
            </w:r>
            <w:proofErr w:type="gramEnd"/>
            <w:r>
              <w:rPr>
                <w:color w:val="B0C4DE"/>
                <w:sz w:val="20"/>
                <w:szCs w:val="20"/>
              </w:rPr>
              <w:t xml:space="preserve">  BH </w:t>
            </w:r>
            <w:proofErr w:type="gramStart"/>
            <w:r>
              <w:rPr>
                <w:color w:val="B0C4DE"/>
                <w:sz w:val="20"/>
                <w:szCs w:val="20"/>
              </w:rPr>
              <w:t>Technology  |</w:t>
            </w:r>
            <w:proofErr w:type="gramEnd"/>
            <w:r>
              <w:rPr>
                <w:color w:val="B0C4DE"/>
                <w:sz w:val="20"/>
                <w:szCs w:val="20"/>
              </w:rPr>
              <w:t xml:space="preserve">  714-698-9919</w:t>
            </w:r>
          </w:p>
          <w:p w14:paraId="5606566D" w14:textId="77777777" w:rsidR="00065694" w:rsidRDefault="00000000">
            <w:pPr>
              <w:spacing w:after="80"/>
              <w:jc w:val="center"/>
            </w:pPr>
            <w:r>
              <w:rPr>
                <w:b/>
                <w:bCs/>
                <w:color w:val="C4A74E"/>
              </w:rPr>
              <w:t>robert@bhtechnology.org</w:t>
            </w:r>
          </w:p>
        </w:tc>
      </w:tr>
    </w:tbl>
    <w:p w14:paraId="2FCF6954" w14:textId="77777777" w:rsidR="00065694" w:rsidRDefault="00000000">
      <w:r>
        <w:br w:type="page"/>
      </w:r>
    </w:p>
    <w:p w14:paraId="43089847" w14:textId="77777777" w:rsidR="00065694" w:rsidRDefault="00000000">
      <w:pPr>
        <w:pStyle w:val="Heading1"/>
      </w:pPr>
      <w:r>
        <w:lastRenderedPageBreak/>
        <w:t>APPENDICES</w:t>
      </w:r>
    </w:p>
    <w:p w14:paraId="3BC6B0B0" w14:textId="77777777" w:rsidR="00065694" w:rsidRDefault="00065694">
      <w:pPr>
        <w:spacing w:after="40"/>
      </w:pPr>
    </w:p>
    <w:p w14:paraId="5075220F" w14:textId="77777777" w:rsidR="00065694" w:rsidRDefault="00000000">
      <w:pPr>
        <w:pStyle w:val="Heading2"/>
      </w:pPr>
      <w:r>
        <w:t>A. Glossary of Key Terms</w:t>
      </w:r>
    </w:p>
    <w:p w14:paraId="38A87649" w14:textId="77777777" w:rsidR="00065694" w:rsidRDefault="00065694">
      <w:pPr>
        <w:spacing w:after="40"/>
      </w:pPr>
    </w:p>
    <w:p w14:paraId="31CEAA62" w14:textId="77777777" w:rsidR="00065694" w:rsidRDefault="00000000">
      <w:pPr>
        <w:spacing w:after="160"/>
      </w:pPr>
      <w:r>
        <w:rPr>
          <w:b/>
          <w:bCs/>
          <w:color w:val="333333"/>
        </w:rPr>
        <w:t xml:space="preserve">ASAM Criteria: </w:t>
      </w:r>
      <w:r>
        <w:rPr>
          <w:color w:val="333333"/>
        </w:rPr>
        <w:t>The American Society of Addiction Medicine’s standards for patient assessment and treatment placement. The protocol described in this white paper is aligned to ASAM levels of care.</w:t>
      </w:r>
    </w:p>
    <w:p w14:paraId="606B3F9A" w14:textId="77777777" w:rsidR="00065694" w:rsidRDefault="00000000">
      <w:pPr>
        <w:spacing w:after="160"/>
      </w:pPr>
      <w:r>
        <w:rPr>
          <w:b/>
          <w:bCs/>
          <w:color w:val="333333"/>
        </w:rPr>
        <w:t xml:space="preserve">Ambulatory Detox: </w:t>
      </w:r>
      <w:r>
        <w:rPr>
          <w:color w:val="333333"/>
        </w:rPr>
        <w:t>Medically supervised detoxification where the patient lives at home and comes to the facility daily for monitoring, medication management, and clinical check-ins.</w:t>
      </w:r>
    </w:p>
    <w:p w14:paraId="0D73D429" w14:textId="77777777" w:rsidR="00065694" w:rsidRDefault="00000000">
      <w:pPr>
        <w:spacing w:after="160"/>
      </w:pPr>
      <w:r>
        <w:rPr>
          <w:b/>
          <w:bCs/>
          <w:color w:val="333333"/>
        </w:rPr>
        <w:t xml:space="preserve">Dual Billing: </w:t>
      </w:r>
      <w:r>
        <w:rPr>
          <w:color w:val="333333"/>
        </w:rPr>
        <w:t>Billing for two levels of care simultaneously. In this model, ambulatory detox billing continues while the patient also enters residential treatment after 5–6 days of stabilization.</w:t>
      </w:r>
    </w:p>
    <w:p w14:paraId="2F9EDADF" w14:textId="77777777" w:rsidR="00065694" w:rsidRDefault="00000000">
      <w:pPr>
        <w:spacing w:after="160"/>
      </w:pPr>
      <w:r>
        <w:rPr>
          <w:b/>
          <w:bCs/>
          <w:color w:val="333333"/>
        </w:rPr>
        <w:t xml:space="preserve">SCA (Single Case Agreement): </w:t>
      </w:r>
      <w:r>
        <w:rPr>
          <w:color w:val="333333"/>
        </w:rPr>
        <w:t>A one-time rate agreement negotiated with an insurance company for a specific patient, typically used for out-of-network billing. Must be secured before or on the day of admission.</w:t>
      </w:r>
    </w:p>
    <w:p w14:paraId="7C3F7CC4" w14:textId="77777777" w:rsidR="00065694" w:rsidRDefault="00000000">
      <w:pPr>
        <w:spacing w:after="160"/>
      </w:pPr>
      <w:r>
        <w:rPr>
          <w:b/>
          <w:bCs/>
          <w:color w:val="333333"/>
        </w:rPr>
        <w:t xml:space="preserve">VOB (Verification of Benefits): </w:t>
      </w:r>
      <w:r>
        <w:rPr>
          <w:color w:val="333333"/>
        </w:rPr>
        <w:t>The process of confirming a patient’s insurance coverage, deductibles, co-pays, and authorized treatment levels before admission.</w:t>
      </w:r>
    </w:p>
    <w:p w14:paraId="2AA270A7" w14:textId="77777777" w:rsidR="00065694" w:rsidRDefault="00000000">
      <w:pPr>
        <w:spacing w:after="160"/>
      </w:pPr>
      <w:r>
        <w:rPr>
          <w:b/>
          <w:bCs/>
          <w:color w:val="333333"/>
        </w:rPr>
        <w:t xml:space="preserve">Guardian: </w:t>
      </w:r>
      <w:r>
        <w:rPr>
          <w:color w:val="333333"/>
        </w:rPr>
        <w:t>A responsible person (family member, spouse, friend, or professional caregiver) who supports the patient during ambulatory detox by administering medication and attending meetings.</w:t>
      </w:r>
    </w:p>
    <w:p w14:paraId="34C87D7A" w14:textId="77777777" w:rsidR="00065694" w:rsidRDefault="00000000">
      <w:pPr>
        <w:spacing w:after="160"/>
      </w:pPr>
      <w:r>
        <w:rPr>
          <w:b/>
          <w:bCs/>
          <w:color w:val="333333"/>
        </w:rPr>
        <w:t xml:space="preserve">AMA (Against Medical Advice): </w:t>
      </w:r>
      <w:r>
        <w:rPr>
          <w:color w:val="333333"/>
        </w:rPr>
        <w:t>When a patient leaves treatment before completion. 98% of AMAs trace back to medical discomfort from incomplete detox.</w:t>
      </w:r>
    </w:p>
    <w:p w14:paraId="0A827DC0" w14:textId="77777777" w:rsidR="00065694" w:rsidRDefault="00065694">
      <w:pPr>
        <w:spacing w:after="120"/>
      </w:pPr>
    </w:p>
    <w:p w14:paraId="4B1EECB7" w14:textId="77777777" w:rsidR="00065694" w:rsidRDefault="00000000">
      <w:pPr>
        <w:pStyle w:val="Heading2"/>
      </w:pPr>
      <w:r>
        <w:t>B. Sample Dashboard KPIs (Partial List)</w:t>
      </w:r>
    </w:p>
    <w:p w14:paraId="7C6C0AA2" w14:textId="77777777" w:rsidR="00065694" w:rsidRDefault="00065694">
      <w:pPr>
        <w:spacing w:after="40"/>
      </w:pPr>
    </w:p>
    <w:p w14:paraId="57E0E71B" w14:textId="77777777" w:rsidR="00065694" w:rsidRDefault="00000000">
      <w:pPr>
        <w:spacing w:after="160"/>
      </w:pPr>
      <w:r>
        <w:rPr>
          <w:color w:val="333333"/>
        </w:rPr>
        <w:t>The reporting platform tracks 60+ KPIs across 6 categories. A representative sample:</w:t>
      </w:r>
    </w:p>
    <w:p w14:paraId="6A0ED331" w14:textId="77777777" w:rsidR="00065694" w:rsidRDefault="00065694">
      <w:pPr>
        <w:spacing w:after="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20" w:type="dxa"/>
          <w:bottom w:w="60" w:type="dxa"/>
          <w:right w:w="120" w:type="dxa"/>
        </w:tblCellMar>
        <w:tblLook w:val="04A0" w:firstRow="1" w:lastRow="0" w:firstColumn="1" w:lastColumn="0" w:noHBand="0" w:noVBand="1"/>
      </w:tblPr>
      <w:tblGrid>
        <w:gridCol w:w="2446"/>
        <w:gridCol w:w="4610"/>
        <w:gridCol w:w="1968"/>
      </w:tblGrid>
      <w:tr w:rsidR="00065694" w14:paraId="2C6DA5BD" w14:textId="77777777">
        <w:trPr>
          <w:tblHeader/>
        </w:trPr>
        <w:tc>
          <w:tcPr>
            <w:tcW w:w="3120" w:type="dxa"/>
            <w:tcBorders>
              <w:top w:val="single" w:sz="1" w:space="0" w:color="CCCCCC"/>
              <w:left w:val="single" w:sz="1" w:space="0" w:color="CCCCCC"/>
              <w:bottom w:val="single" w:sz="1" w:space="0" w:color="CCCCCC"/>
              <w:right w:val="single" w:sz="1" w:space="0" w:color="CCCCCC"/>
            </w:tcBorders>
            <w:shd w:val="clear" w:color="auto" w:fill="1A3461"/>
          </w:tcPr>
          <w:p w14:paraId="55C8FD94" w14:textId="77777777" w:rsidR="00065694" w:rsidRDefault="00000000">
            <w:pPr>
              <w:jc w:val="center"/>
            </w:pPr>
            <w:r>
              <w:rPr>
                <w:b/>
                <w:bCs/>
                <w:color w:val="FFFFFF"/>
                <w:sz w:val="20"/>
                <w:szCs w:val="20"/>
              </w:rPr>
              <w:t>Category</w:t>
            </w:r>
          </w:p>
        </w:tc>
        <w:tc>
          <w:tcPr>
            <w:tcW w:w="3120" w:type="dxa"/>
            <w:gridSpan w:val="2"/>
            <w:tcBorders>
              <w:top w:val="single" w:sz="1" w:space="0" w:color="CCCCCC"/>
              <w:left w:val="single" w:sz="1" w:space="0" w:color="CCCCCC"/>
              <w:bottom w:val="single" w:sz="1" w:space="0" w:color="CCCCCC"/>
              <w:right w:val="single" w:sz="1" w:space="0" w:color="CCCCCC"/>
            </w:tcBorders>
            <w:shd w:val="clear" w:color="auto" w:fill="1A3461"/>
          </w:tcPr>
          <w:p w14:paraId="1AB4FD7F" w14:textId="77777777" w:rsidR="00065694" w:rsidRDefault="00000000">
            <w:pPr>
              <w:jc w:val="center"/>
            </w:pPr>
            <w:r>
              <w:rPr>
                <w:b/>
                <w:bCs/>
                <w:color w:val="FFFFFF"/>
                <w:sz w:val="20"/>
                <w:szCs w:val="20"/>
              </w:rPr>
              <w:t>Sample KPIs</w:t>
            </w:r>
          </w:p>
        </w:tc>
      </w:tr>
      <w:tr w:rsidR="00065694" w14:paraId="17CBCDB6" w14:textId="77777777">
        <w:trPr>
          <w:gridAfter w:val="1"/>
          <w:wAfter w:w="3120" w:type="dxa"/>
        </w:trPr>
        <w:tc>
          <w:tcPr>
            <w:tcW w:w="3120" w:type="dxa"/>
            <w:tcBorders>
              <w:top w:val="single" w:sz="1" w:space="0" w:color="CCCCCC"/>
              <w:left w:val="single" w:sz="1" w:space="0" w:color="CCCCCC"/>
              <w:bottom w:val="single" w:sz="1" w:space="0" w:color="CCCCCC"/>
              <w:right w:val="single" w:sz="1" w:space="0" w:color="CCCCCC"/>
            </w:tcBorders>
          </w:tcPr>
          <w:p w14:paraId="057C0AC5" w14:textId="77777777" w:rsidR="00065694" w:rsidRDefault="00000000">
            <w:pPr>
              <w:spacing w:before="50" w:after="50"/>
            </w:pPr>
            <w:r>
              <w:rPr>
                <w:b/>
                <w:bCs/>
                <w:color w:val="1A3461"/>
                <w:sz w:val="20"/>
                <w:szCs w:val="20"/>
              </w:rPr>
              <w:t>Revenue &amp; Billing</w:t>
            </w:r>
          </w:p>
        </w:tc>
        <w:tc>
          <w:tcPr>
            <w:tcW w:w="6240" w:type="dxa"/>
            <w:tcBorders>
              <w:top w:val="single" w:sz="1" w:space="0" w:color="CCCCCC"/>
              <w:left w:val="single" w:sz="1" w:space="0" w:color="CCCCCC"/>
              <w:bottom w:val="single" w:sz="1" w:space="0" w:color="CCCCCC"/>
              <w:right w:val="single" w:sz="1" w:space="0" w:color="CCCCCC"/>
            </w:tcBorders>
          </w:tcPr>
          <w:p w14:paraId="02B5E982" w14:textId="77777777" w:rsidR="00065694" w:rsidRDefault="00000000">
            <w:pPr>
              <w:spacing w:before="50" w:after="50"/>
            </w:pPr>
            <w:r>
              <w:rPr>
                <w:color w:val="333333"/>
                <w:sz w:val="18"/>
                <w:szCs w:val="18"/>
              </w:rPr>
              <w:t>Total billed, collected, outstanding, collection rate, avg reimbursement/day, net profit, profit margin</w:t>
            </w:r>
          </w:p>
        </w:tc>
      </w:tr>
      <w:tr w:rsidR="00065694" w14:paraId="73826631" w14:textId="77777777">
        <w:trPr>
          <w:gridAfter w:val="1"/>
          <w:wAfter w:w="3120" w:type="dxa"/>
        </w:trPr>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009F7C6A" w14:textId="77777777" w:rsidR="00065694" w:rsidRDefault="00000000">
            <w:pPr>
              <w:spacing w:before="50" w:after="50"/>
            </w:pPr>
            <w:r>
              <w:rPr>
                <w:b/>
                <w:bCs/>
                <w:color w:val="1A3461"/>
                <w:sz w:val="20"/>
                <w:szCs w:val="20"/>
              </w:rPr>
              <w:t>Billing Audit</w:t>
            </w:r>
          </w:p>
        </w:tc>
        <w:tc>
          <w:tcPr>
            <w:tcW w:w="6240" w:type="dxa"/>
            <w:tcBorders>
              <w:top w:val="single" w:sz="1" w:space="0" w:color="CCCCCC"/>
              <w:left w:val="single" w:sz="1" w:space="0" w:color="CCCCCC"/>
              <w:bottom w:val="single" w:sz="1" w:space="0" w:color="CCCCCC"/>
              <w:right w:val="single" w:sz="1" w:space="0" w:color="CCCCCC"/>
            </w:tcBorders>
            <w:shd w:val="clear" w:color="auto" w:fill="F0F4F8"/>
          </w:tcPr>
          <w:p w14:paraId="0174A8F5" w14:textId="77777777" w:rsidR="00065694" w:rsidRDefault="00000000">
            <w:pPr>
              <w:spacing w:before="50" w:after="50"/>
            </w:pPr>
            <w:r>
              <w:rPr>
                <w:color w:val="333333"/>
                <w:sz w:val="18"/>
                <w:szCs w:val="18"/>
              </w:rPr>
              <w:t>Contracted vs. actual paid (per payer), rate gap, estimated lost revenue, authorization status, SCA tracking</w:t>
            </w:r>
          </w:p>
        </w:tc>
      </w:tr>
      <w:tr w:rsidR="00065694" w14:paraId="1F71848D" w14:textId="77777777">
        <w:trPr>
          <w:gridAfter w:val="1"/>
          <w:wAfter w:w="3120" w:type="dxa"/>
        </w:trPr>
        <w:tc>
          <w:tcPr>
            <w:tcW w:w="3120" w:type="dxa"/>
            <w:tcBorders>
              <w:top w:val="single" w:sz="1" w:space="0" w:color="CCCCCC"/>
              <w:left w:val="single" w:sz="1" w:space="0" w:color="CCCCCC"/>
              <w:bottom w:val="single" w:sz="1" w:space="0" w:color="CCCCCC"/>
              <w:right w:val="single" w:sz="1" w:space="0" w:color="CCCCCC"/>
            </w:tcBorders>
          </w:tcPr>
          <w:p w14:paraId="6C974B10" w14:textId="77777777" w:rsidR="00065694" w:rsidRDefault="00000000">
            <w:pPr>
              <w:spacing w:before="50" w:after="50"/>
            </w:pPr>
            <w:r>
              <w:rPr>
                <w:b/>
                <w:bCs/>
                <w:color w:val="1A3461"/>
                <w:sz w:val="20"/>
                <w:szCs w:val="20"/>
              </w:rPr>
              <w:t>Patient Payments</w:t>
            </w:r>
          </w:p>
        </w:tc>
        <w:tc>
          <w:tcPr>
            <w:tcW w:w="6240" w:type="dxa"/>
            <w:tcBorders>
              <w:top w:val="single" w:sz="1" w:space="0" w:color="CCCCCC"/>
              <w:left w:val="single" w:sz="1" w:space="0" w:color="CCCCCC"/>
              <w:bottom w:val="single" w:sz="1" w:space="0" w:color="CCCCCC"/>
              <w:right w:val="single" w:sz="1" w:space="0" w:color="CCCCCC"/>
            </w:tcBorders>
          </w:tcPr>
          <w:p w14:paraId="03278DA4" w14:textId="77777777" w:rsidR="00065694" w:rsidRDefault="00000000">
            <w:pPr>
              <w:spacing w:before="50" w:after="50"/>
            </w:pPr>
            <w:r>
              <w:rPr>
                <w:color w:val="333333"/>
                <w:sz w:val="18"/>
                <w:szCs w:val="18"/>
              </w:rPr>
              <w:t>Deductible/co-pay tracking, payment compliance, overdue accounts, payment plan adherence</w:t>
            </w:r>
          </w:p>
        </w:tc>
      </w:tr>
      <w:tr w:rsidR="00065694" w14:paraId="1C4EF057" w14:textId="77777777">
        <w:trPr>
          <w:gridAfter w:val="1"/>
          <w:wAfter w:w="3120" w:type="dxa"/>
        </w:trPr>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60F6E300" w14:textId="77777777" w:rsidR="00065694" w:rsidRDefault="00000000">
            <w:pPr>
              <w:spacing w:before="50" w:after="50"/>
            </w:pPr>
            <w:r>
              <w:rPr>
                <w:b/>
                <w:bCs/>
                <w:color w:val="1A3461"/>
                <w:sz w:val="20"/>
                <w:szCs w:val="20"/>
              </w:rPr>
              <w:t>Dual Billing</w:t>
            </w:r>
          </w:p>
        </w:tc>
        <w:tc>
          <w:tcPr>
            <w:tcW w:w="6240" w:type="dxa"/>
            <w:tcBorders>
              <w:top w:val="single" w:sz="1" w:space="0" w:color="CCCCCC"/>
              <w:left w:val="single" w:sz="1" w:space="0" w:color="CCCCCC"/>
              <w:bottom w:val="single" w:sz="1" w:space="0" w:color="CCCCCC"/>
              <w:right w:val="single" w:sz="1" w:space="0" w:color="CCCCCC"/>
            </w:tcBorders>
            <w:shd w:val="clear" w:color="auto" w:fill="F0F4F8"/>
          </w:tcPr>
          <w:p w14:paraId="7A6F564E" w14:textId="77777777" w:rsidR="00065694" w:rsidRDefault="00000000">
            <w:pPr>
              <w:spacing w:before="50" w:after="50"/>
            </w:pPr>
            <w:r>
              <w:rPr>
                <w:color w:val="333333"/>
                <w:sz w:val="18"/>
                <w:szCs w:val="18"/>
              </w:rPr>
              <w:t>Patients in overlap window, detox day count, combined daily rate, overlap revenue captured</w:t>
            </w:r>
          </w:p>
        </w:tc>
      </w:tr>
      <w:tr w:rsidR="00065694" w14:paraId="5F3FA30D" w14:textId="77777777">
        <w:trPr>
          <w:gridAfter w:val="1"/>
          <w:wAfter w:w="3120" w:type="dxa"/>
        </w:trPr>
        <w:tc>
          <w:tcPr>
            <w:tcW w:w="3120" w:type="dxa"/>
            <w:tcBorders>
              <w:top w:val="single" w:sz="1" w:space="0" w:color="CCCCCC"/>
              <w:left w:val="single" w:sz="1" w:space="0" w:color="CCCCCC"/>
              <w:bottom w:val="single" w:sz="1" w:space="0" w:color="CCCCCC"/>
              <w:right w:val="single" w:sz="1" w:space="0" w:color="CCCCCC"/>
            </w:tcBorders>
          </w:tcPr>
          <w:p w14:paraId="1B66F2C7" w14:textId="77777777" w:rsidR="00065694" w:rsidRDefault="00000000">
            <w:pPr>
              <w:spacing w:before="50" w:after="50"/>
            </w:pPr>
            <w:r>
              <w:rPr>
                <w:b/>
                <w:bCs/>
                <w:color w:val="1A3461"/>
                <w:sz w:val="20"/>
                <w:szCs w:val="20"/>
              </w:rPr>
              <w:t>Operations &amp; Census</w:t>
            </w:r>
          </w:p>
        </w:tc>
        <w:tc>
          <w:tcPr>
            <w:tcW w:w="6240" w:type="dxa"/>
            <w:tcBorders>
              <w:top w:val="single" w:sz="1" w:space="0" w:color="CCCCCC"/>
              <w:left w:val="single" w:sz="1" w:space="0" w:color="CCCCCC"/>
              <w:bottom w:val="single" w:sz="1" w:space="0" w:color="CCCCCC"/>
              <w:right w:val="single" w:sz="1" w:space="0" w:color="CCCCCC"/>
            </w:tcBorders>
          </w:tcPr>
          <w:p w14:paraId="577C8679" w14:textId="77777777" w:rsidR="00065694" w:rsidRDefault="00000000">
            <w:pPr>
              <w:spacing w:before="50" w:after="50"/>
            </w:pPr>
            <w:r>
              <w:rPr>
                <w:color w:val="333333"/>
                <w:sz w:val="18"/>
                <w:szCs w:val="18"/>
              </w:rPr>
              <w:t>Active census, new starts, completions, discharges, staff utilization vs. patient volume</w:t>
            </w:r>
          </w:p>
        </w:tc>
      </w:tr>
      <w:tr w:rsidR="00065694" w14:paraId="4962BA56" w14:textId="77777777">
        <w:trPr>
          <w:gridAfter w:val="1"/>
          <w:wAfter w:w="3120" w:type="dxa"/>
        </w:trPr>
        <w:tc>
          <w:tcPr>
            <w:tcW w:w="3120" w:type="dxa"/>
            <w:tcBorders>
              <w:top w:val="single" w:sz="1" w:space="0" w:color="CCCCCC"/>
              <w:left w:val="single" w:sz="1" w:space="0" w:color="CCCCCC"/>
              <w:bottom w:val="single" w:sz="1" w:space="0" w:color="CCCCCC"/>
              <w:right w:val="single" w:sz="1" w:space="0" w:color="CCCCCC"/>
            </w:tcBorders>
            <w:shd w:val="clear" w:color="auto" w:fill="F0F4F8"/>
          </w:tcPr>
          <w:p w14:paraId="275F146C" w14:textId="77777777" w:rsidR="00065694" w:rsidRDefault="00000000">
            <w:pPr>
              <w:spacing w:before="50" w:after="50"/>
            </w:pPr>
            <w:r>
              <w:rPr>
                <w:b/>
                <w:bCs/>
                <w:color w:val="1A3461"/>
                <w:sz w:val="20"/>
                <w:szCs w:val="20"/>
              </w:rPr>
              <w:t>Scorecard (32 Items)</w:t>
            </w:r>
          </w:p>
        </w:tc>
        <w:tc>
          <w:tcPr>
            <w:tcW w:w="6240" w:type="dxa"/>
            <w:tcBorders>
              <w:top w:val="single" w:sz="1" w:space="0" w:color="CCCCCC"/>
              <w:left w:val="single" w:sz="1" w:space="0" w:color="CCCCCC"/>
              <w:bottom w:val="single" w:sz="1" w:space="0" w:color="CCCCCC"/>
              <w:right w:val="single" w:sz="1" w:space="0" w:color="CCCCCC"/>
            </w:tcBorders>
            <w:shd w:val="clear" w:color="auto" w:fill="F0F4F8"/>
          </w:tcPr>
          <w:p w14:paraId="059F3FE4" w14:textId="77777777" w:rsidR="00065694" w:rsidRDefault="00000000">
            <w:pPr>
              <w:spacing w:before="50" w:after="50"/>
            </w:pPr>
            <w:r>
              <w:rPr>
                <w:color w:val="333333"/>
                <w:sz w:val="18"/>
                <w:szCs w:val="18"/>
              </w:rPr>
              <w:t>Admissions process (13), daily financial tracking (6), collections (4), insurance billing (</w:t>
            </w:r>
            <w:proofErr w:type="gramStart"/>
            <w:r>
              <w:rPr>
                <w:color w:val="333333"/>
                <w:sz w:val="18"/>
                <w:szCs w:val="18"/>
              </w:rPr>
              <w:t>9) —</w:t>
            </w:r>
            <w:proofErr w:type="gramEnd"/>
            <w:r>
              <w:rPr>
                <w:color w:val="333333"/>
                <w:sz w:val="18"/>
                <w:szCs w:val="18"/>
              </w:rPr>
              <w:t xml:space="preserve"> 160-point max</w:t>
            </w:r>
          </w:p>
        </w:tc>
      </w:tr>
    </w:tbl>
    <w:p w14:paraId="6B934B08" w14:textId="77777777" w:rsidR="00065694" w:rsidRDefault="00065694">
      <w:pPr>
        <w:spacing w:after="120"/>
      </w:pPr>
    </w:p>
    <w:p w14:paraId="0CB2714A" w14:textId="77777777" w:rsidR="00065694" w:rsidRDefault="00000000">
      <w:pPr>
        <w:pStyle w:val="Heading2"/>
      </w:pPr>
      <w:r>
        <w:t>C. Financial Assumptions and Methodology</w:t>
      </w:r>
    </w:p>
    <w:p w14:paraId="34B0CF44" w14:textId="77777777" w:rsidR="00065694" w:rsidRDefault="00065694">
      <w:pPr>
        <w:spacing w:after="40"/>
      </w:pPr>
    </w:p>
    <w:p w14:paraId="7E0C440F" w14:textId="77777777" w:rsidR="00065694" w:rsidRDefault="00000000">
      <w:pPr>
        <w:pStyle w:val="ListParagraph"/>
        <w:numPr>
          <w:ilvl w:val="0"/>
          <w:numId w:val="9"/>
        </w:numPr>
        <w:spacing w:after="80"/>
      </w:pPr>
      <w:r>
        <w:rPr>
          <w:color w:val="333333"/>
        </w:rPr>
        <w:t>Baseline rate: $425/day — state program (Medicaid) Mountain West reimbursement for ambulatory detox</w:t>
      </w:r>
    </w:p>
    <w:p w14:paraId="379BE3EB" w14:textId="77777777" w:rsidR="00065694" w:rsidRDefault="00000000">
      <w:pPr>
        <w:pStyle w:val="ListParagraph"/>
        <w:numPr>
          <w:ilvl w:val="0"/>
          <w:numId w:val="9"/>
        </w:numPr>
        <w:spacing w:after="80"/>
      </w:pPr>
      <w:r>
        <w:rPr>
          <w:color w:val="333333"/>
        </w:rPr>
        <w:t>Rate tiers: Minimum $375–$450, Average $400–$475, High Avg $600–$850, Rare $800–$1,000</w:t>
      </w:r>
    </w:p>
    <w:p w14:paraId="72837A92" w14:textId="77777777" w:rsidR="00065694" w:rsidRDefault="00000000">
      <w:pPr>
        <w:pStyle w:val="ListParagraph"/>
        <w:numPr>
          <w:ilvl w:val="0"/>
          <w:numId w:val="9"/>
        </w:numPr>
        <w:spacing w:after="80"/>
      </w:pPr>
      <w:r>
        <w:rPr>
          <w:color w:val="333333"/>
        </w:rPr>
        <w:t>Revenue projections assume 7 days/week billing per active patient</w:t>
      </w:r>
    </w:p>
    <w:p w14:paraId="390228D4" w14:textId="77777777" w:rsidR="00065694" w:rsidRDefault="00000000">
      <w:pPr>
        <w:pStyle w:val="ListParagraph"/>
        <w:numPr>
          <w:ilvl w:val="0"/>
          <w:numId w:val="9"/>
        </w:numPr>
        <w:spacing w:after="80"/>
      </w:pPr>
      <w:r>
        <w:rPr>
          <w:color w:val="333333"/>
        </w:rPr>
        <w:t>Dual billing rate: $425 (detox) + $700 (residential) = $1,125/day, beginning after day 5–6</w:t>
      </w:r>
    </w:p>
    <w:p w14:paraId="22E5152C" w14:textId="77777777" w:rsidR="00065694" w:rsidRDefault="00000000">
      <w:pPr>
        <w:pStyle w:val="ListParagraph"/>
        <w:numPr>
          <w:ilvl w:val="0"/>
          <w:numId w:val="9"/>
        </w:numPr>
        <w:spacing w:after="80"/>
      </w:pPr>
      <w:r>
        <w:rPr>
          <w:color w:val="333333"/>
        </w:rPr>
        <w:t>Patient loss statistics: 77% non-return rate is a national average across treatment center referrals</w:t>
      </w:r>
    </w:p>
    <w:p w14:paraId="496A0FC0" w14:textId="77777777" w:rsidR="00065694" w:rsidRDefault="00000000">
      <w:pPr>
        <w:pStyle w:val="ListParagraph"/>
        <w:numPr>
          <w:ilvl w:val="0"/>
          <w:numId w:val="9"/>
        </w:numPr>
        <w:spacing w:after="80"/>
      </w:pPr>
      <w:r>
        <w:rPr>
          <w:color w:val="333333"/>
        </w:rPr>
        <w:t xml:space="preserve">$30,000 replacement cost: marketing </w:t>
      </w:r>
      <w:proofErr w:type="gramStart"/>
      <w:r>
        <w:rPr>
          <w:color w:val="333333"/>
        </w:rPr>
        <w:t>spend</w:t>
      </w:r>
      <w:proofErr w:type="gramEnd"/>
      <w:r>
        <w:rPr>
          <w:color w:val="333333"/>
        </w:rPr>
        <w:t xml:space="preserve"> + lost treatment revenue per non-returning patient (sourced from industry research)</w:t>
      </w:r>
    </w:p>
    <w:p w14:paraId="04EB1FA1" w14:textId="77777777" w:rsidR="00065694" w:rsidRDefault="00000000">
      <w:pPr>
        <w:pStyle w:val="ListParagraph"/>
        <w:numPr>
          <w:ilvl w:val="0"/>
          <w:numId w:val="9"/>
        </w:numPr>
        <w:spacing w:after="80"/>
      </w:pPr>
      <w:r>
        <w:rPr>
          <w:color w:val="333333"/>
        </w:rPr>
        <w:t xml:space="preserve">Monthly overhead ranges reflect minimum to </w:t>
      </w:r>
      <w:proofErr w:type="gramStart"/>
      <w:r>
        <w:rPr>
          <w:color w:val="333333"/>
        </w:rPr>
        <w:t>fully-staffed</w:t>
      </w:r>
      <w:proofErr w:type="gramEnd"/>
      <w:r>
        <w:rPr>
          <w:color w:val="333333"/>
        </w:rPr>
        <w:t xml:space="preserve"> operations for each model</w:t>
      </w:r>
    </w:p>
    <w:p w14:paraId="4B292606" w14:textId="77777777" w:rsidR="00065694" w:rsidRDefault="00000000">
      <w:pPr>
        <w:pStyle w:val="ListParagraph"/>
        <w:numPr>
          <w:ilvl w:val="0"/>
          <w:numId w:val="9"/>
        </w:numPr>
        <w:spacing w:after="80"/>
      </w:pPr>
      <w:r>
        <w:rPr>
          <w:color w:val="333333"/>
        </w:rPr>
        <w:t>All projections are pre-tax, pre-overhead gross revenue unless otherwise noted</w:t>
      </w:r>
    </w:p>
    <w:p w14:paraId="04A49969" w14:textId="77777777" w:rsidR="00065694" w:rsidRDefault="00065694">
      <w:pPr>
        <w:spacing w:after="2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16"/>
      </w:tblGrid>
      <w:tr w:rsidR="00065694" w14:paraId="006B9F2F" w14:textId="77777777">
        <w:tblPrEx>
          <w:tblCellMar>
            <w:top w:w="0" w:type="dxa"/>
            <w:bottom w:w="0" w:type="dxa"/>
          </w:tblCellMar>
        </w:tblPrEx>
        <w:tc>
          <w:tcPr>
            <w:tcW w:w="9360" w:type="dxa"/>
            <w:tcBorders>
              <w:bottom w:val="single" w:sz="6" w:space="0" w:color="C4A74E"/>
            </w:tcBorders>
          </w:tcPr>
          <w:p w14:paraId="399E13D5" w14:textId="77777777" w:rsidR="00065694" w:rsidRDefault="00065694"/>
        </w:tc>
      </w:tr>
    </w:tbl>
    <w:p w14:paraId="3BC68885" w14:textId="77777777" w:rsidR="00065694" w:rsidRDefault="00065694">
      <w:pPr>
        <w:spacing w:after="80"/>
      </w:pPr>
    </w:p>
    <w:p w14:paraId="4A7023DE" w14:textId="77777777" w:rsidR="00065694" w:rsidRDefault="00000000">
      <w:pPr>
        <w:spacing w:after="40"/>
        <w:jc w:val="center"/>
      </w:pPr>
      <w:r>
        <w:rPr>
          <w:color w:val="666666"/>
          <w:sz w:val="20"/>
          <w:szCs w:val="20"/>
        </w:rPr>
        <w:t xml:space="preserve">B&amp;W </w:t>
      </w:r>
      <w:proofErr w:type="gramStart"/>
      <w:r>
        <w:rPr>
          <w:color w:val="666666"/>
          <w:sz w:val="20"/>
          <w:szCs w:val="20"/>
        </w:rPr>
        <w:t>Consultants  |</w:t>
      </w:r>
      <w:proofErr w:type="gramEnd"/>
      <w:r>
        <w:rPr>
          <w:color w:val="666666"/>
          <w:sz w:val="20"/>
          <w:szCs w:val="20"/>
        </w:rPr>
        <w:t xml:space="preserve">  BH Technology</w:t>
      </w:r>
    </w:p>
    <w:p w14:paraId="4B1CE0E0" w14:textId="77777777" w:rsidR="00065694" w:rsidRDefault="00000000">
      <w:pPr>
        <w:spacing w:after="40"/>
        <w:jc w:val="center"/>
      </w:pPr>
      <w:r>
        <w:rPr>
          <w:color w:val="1A3461"/>
          <w:sz w:val="20"/>
          <w:szCs w:val="20"/>
        </w:rPr>
        <w:t>robert@bhtechnology.org</w:t>
      </w:r>
    </w:p>
    <w:p w14:paraId="2DEBDA6D" w14:textId="77777777" w:rsidR="00065694" w:rsidRDefault="00000000">
      <w:pPr>
        <w:spacing w:after="40"/>
        <w:jc w:val="center"/>
      </w:pPr>
      <w:r>
        <w:rPr>
          <w:color w:val="666666"/>
          <w:sz w:val="18"/>
          <w:szCs w:val="18"/>
        </w:rPr>
        <w:t>Confidential — 2026</w:t>
      </w:r>
    </w:p>
    <w:sectPr w:rsidR="00065694">
      <w:headerReference w:type="default" r:id="rId8"/>
      <w:footerReference w:type="default" r:id="rId9"/>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6085" w14:textId="77777777" w:rsidR="0037373D" w:rsidRDefault="0037373D">
      <w:r>
        <w:separator/>
      </w:r>
    </w:p>
  </w:endnote>
  <w:endnote w:type="continuationSeparator" w:id="0">
    <w:p w14:paraId="2C27BD4E" w14:textId="77777777" w:rsidR="0037373D" w:rsidRDefault="0037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54F1" w14:textId="77777777" w:rsidR="00065694" w:rsidRDefault="00000000">
    <w:pPr>
      <w:jc w:val="center"/>
    </w:pP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A83863">
      <w:rPr>
        <w:noProof/>
        <w:color w:val="666666"/>
        <w:sz w:val="16"/>
        <w:szCs w:val="16"/>
      </w:rPr>
      <w:t>1</w:t>
    </w:r>
    <w:r>
      <w:rPr>
        <w:color w:val="666666"/>
        <w:sz w:val="16"/>
        <w:szCs w:val="16"/>
      </w:rPr>
      <w:fldChar w:fldCharType="end"/>
    </w:r>
    <w:r>
      <w:rPr>
        <w:color w:val="666666"/>
        <w:sz w:val="16"/>
        <w:szCs w:val="16"/>
      </w:rPr>
      <w:t xml:space="preserve">  |  </w:t>
    </w:r>
    <w:proofErr w:type="gramStart"/>
    <w:r>
      <w:rPr>
        <w:color w:val="666666"/>
        <w:sz w:val="16"/>
        <w:szCs w:val="16"/>
      </w:rPr>
      <w:t>Confidential  |</w:t>
    </w:r>
    <w:proofErr w:type="gramEnd"/>
    <w:r>
      <w:rPr>
        <w:color w:val="666666"/>
        <w:sz w:val="16"/>
        <w:szCs w:val="16"/>
      </w:rPr>
      <w:t xml:space="preserve">  robert@bhtechnology.org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E703" w14:textId="77777777" w:rsidR="0037373D" w:rsidRDefault="0037373D">
      <w:r>
        <w:separator/>
      </w:r>
    </w:p>
  </w:footnote>
  <w:footnote w:type="continuationSeparator" w:id="0">
    <w:p w14:paraId="55C9BBA4" w14:textId="77777777" w:rsidR="0037373D" w:rsidRDefault="0037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7356" w14:textId="77777777" w:rsidR="00065694" w:rsidRDefault="00000000">
    <w:pPr>
      <w:jc w:val="right"/>
    </w:pPr>
    <w:r>
      <w:rPr>
        <w:i/>
        <w:iCs/>
        <w:color w:val="666666"/>
        <w:sz w:val="16"/>
        <w:szCs w:val="16"/>
      </w:rPr>
      <w:t xml:space="preserve">Ambulatory Detox as a Revenue-Positive Service </w:t>
    </w:r>
    <w:proofErr w:type="gramStart"/>
    <w:r>
      <w:rPr>
        <w:i/>
        <w:iCs/>
        <w:color w:val="666666"/>
        <w:sz w:val="16"/>
        <w:szCs w:val="16"/>
      </w:rPr>
      <w:t>Line</w:t>
    </w:r>
    <w:r>
      <w:rPr>
        <w:color w:val="CCCCCC"/>
        <w:sz w:val="16"/>
        <w:szCs w:val="16"/>
      </w:rPr>
      <w:t xml:space="preserve">  |</w:t>
    </w:r>
    <w:proofErr w:type="gramEnd"/>
    <w:r>
      <w:rPr>
        <w:color w:val="CCCCCC"/>
        <w:sz w:val="16"/>
        <w:szCs w:val="16"/>
      </w:rPr>
      <w:t xml:space="preserve">  </w:t>
    </w:r>
    <w:r>
      <w:rPr>
        <w:i/>
        <w:iCs/>
        <w:color w:val="666666"/>
        <w:sz w:val="16"/>
        <w:szCs w:val="16"/>
      </w:rPr>
      <w:t>B&amp;W + BH Tech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C14"/>
    <w:multiLevelType w:val="hybridMultilevel"/>
    <w:tmpl w:val="AF863B52"/>
    <w:lvl w:ilvl="0" w:tplc="1DB4DC60">
      <w:start w:val="1"/>
      <w:numFmt w:val="bullet"/>
      <w:lvlText w:val="–"/>
      <w:lvlJc w:val="left"/>
      <w:pPr>
        <w:ind w:left="1080" w:hanging="360"/>
      </w:pPr>
    </w:lvl>
    <w:lvl w:ilvl="1" w:tplc="F95267E4">
      <w:numFmt w:val="decimal"/>
      <w:lvlText w:val=""/>
      <w:lvlJc w:val="left"/>
    </w:lvl>
    <w:lvl w:ilvl="2" w:tplc="228EFF10">
      <w:numFmt w:val="decimal"/>
      <w:lvlText w:val=""/>
      <w:lvlJc w:val="left"/>
    </w:lvl>
    <w:lvl w:ilvl="3" w:tplc="CFFA296E">
      <w:numFmt w:val="decimal"/>
      <w:lvlText w:val=""/>
      <w:lvlJc w:val="left"/>
    </w:lvl>
    <w:lvl w:ilvl="4" w:tplc="B7EEBA30">
      <w:numFmt w:val="decimal"/>
      <w:lvlText w:val=""/>
      <w:lvlJc w:val="left"/>
    </w:lvl>
    <w:lvl w:ilvl="5" w:tplc="4DB0B2AE">
      <w:numFmt w:val="decimal"/>
      <w:lvlText w:val=""/>
      <w:lvlJc w:val="left"/>
    </w:lvl>
    <w:lvl w:ilvl="6" w:tplc="2C1E04F4">
      <w:numFmt w:val="decimal"/>
      <w:lvlText w:val=""/>
      <w:lvlJc w:val="left"/>
    </w:lvl>
    <w:lvl w:ilvl="7" w:tplc="5874D530">
      <w:numFmt w:val="decimal"/>
      <w:lvlText w:val=""/>
      <w:lvlJc w:val="left"/>
    </w:lvl>
    <w:lvl w:ilvl="8" w:tplc="26A4DECE">
      <w:numFmt w:val="decimal"/>
      <w:lvlText w:val=""/>
      <w:lvlJc w:val="left"/>
    </w:lvl>
  </w:abstractNum>
  <w:abstractNum w:abstractNumId="1" w15:restartNumberingAfterBreak="0">
    <w:nsid w:val="0DDF5D43"/>
    <w:multiLevelType w:val="hybridMultilevel"/>
    <w:tmpl w:val="425C18D2"/>
    <w:lvl w:ilvl="0" w:tplc="AADE9B80">
      <w:start w:val="1"/>
      <w:numFmt w:val="bullet"/>
      <w:lvlText w:val="●"/>
      <w:lvlJc w:val="left"/>
      <w:pPr>
        <w:ind w:left="720" w:hanging="360"/>
      </w:pPr>
    </w:lvl>
    <w:lvl w:ilvl="1" w:tplc="14101EF4">
      <w:start w:val="1"/>
      <w:numFmt w:val="bullet"/>
      <w:lvlText w:val="○"/>
      <w:lvlJc w:val="left"/>
      <w:pPr>
        <w:ind w:left="1440" w:hanging="360"/>
      </w:pPr>
    </w:lvl>
    <w:lvl w:ilvl="2" w:tplc="BC825988">
      <w:start w:val="1"/>
      <w:numFmt w:val="bullet"/>
      <w:lvlText w:val="■"/>
      <w:lvlJc w:val="left"/>
      <w:pPr>
        <w:ind w:left="2160" w:hanging="360"/>
      </w:pPr>
    </w:lvl>
    <w:lvl w:ilvl="3" w:tplc="414AFDD8">
      <w:start w:val="1"/>
      <w:numFmt w:val="bullet"/>
      <w:lvlText w:val="●"/>
      <w:lvlJc w:val="left"/>
      <w:pPr>
        <w:ind w:left="2880" w:hanging="360"/>
      </w:pPr>
    </w:lvl>
    <w:lvl w:ilvl="4" w:tplc="CD581F60">
      <w:start w:val="1"/>
      <w:numFmt w:val="bullet"/>
      <w:lvlText w:val="○"/>
      <w:lvlJc w:val="left"/>
      <w:pPr>
        <w:ind w:left="3600" w:hanging="360"/>
      </w:pPr>
    </w:lvl>
    <w:lvl w:ilvl="5" w:tplc="E7C2B47A">
      <w:start w:val="1"/>
      <w:numFmt w:val="bullet"/>
      <w:lvlText w:val="■"/>
      <w:lvlJc w:val="left"/>
      <w:pPr>
        <w:ind w:left="4320" w:hanging="360"/>
      </w:pPr>
    </w:lvl>
    <w:lvl w:ilvl="6" w:tplc="585AD230">
      <w:start w:val="1"/>
      <w:numFmt w:val="bullet"/>
      <w:lvlText w:val="●"/>
      <w:lvlJc w:val="left"/>
      <w:pPr>
        <w:ind w:left="5040" w:hanging="360"/>
      </w:pPr>
    </w:lvl>
    <w:lvl w:ilvl="7" w:tplc="0432348C">
      <w:start w:val="1"/>
      <w:numFmt w:val="bullet"/>
      <w:lvlText w:val="●"/>
      <w:lvlJc w:val="left"/>
      <w:pPr>
        <w:ind w:left="5760" w:hanging="360"/>
      </w:pPr>
    </w:lvl>
    <w:lvl w:ilvl="8" w:tplc="2C7269A4">
      <w:start w:val="1"/>
      <w:numFmt w:val="bullet"/>
      <w:lvlText w:val="●"/>
      <w:lvlJc w:val="left"/>
      <w:pPr>
        <w:ind w:left="6480" w:hanging="360"/>
      </w:pPr>
    </w:lvl>
  </w:abstractNum>
  <w:abstractNum w:abstractNumId="2" w15:restartNumberingAfterBreak="0">
    <w:nsid w:val="1B19483D"/>
    <w:multiLevelType w:val="hybridMultilevel"/>
    <w:tmpl w:val="121614EA"/>
    <w:lvl w:ilvl="0" w:tplc="C9EE52F4">
      <w:start w:val="1"/>
      <w:numFmt w:val="bullet"/>
      <w:lvlText w:val="•"/>
      <w:lvlJc w:val="left"/>
      <w:pPr>
        <w:ind w:left="720" w:hanging="360"/>
      </w:pPr>
    </w:lvl>
    <w:lvl w:ilvl="1" w:tplc="B13E2392">
      <w:numFmt w:val="decimal"/>
      <w:lvlText w:val=""/>
      <w:lvlJc w:val="left"/>
    </w:lvl>
    <w:lvl w:ilvl="2" w:tplc="E44CF8F0">
      <w:numFmt w:val="decimal"/>
      <w:lvlText w:val=""/>
      <w:lvlJc w:val="left"/>
    </w:lvl>
    <w:lvl w:ilvl="3" w:tplc="9676ABD6">
      <w:numFmt w:val="decimal"/>
      <w:lvlText w:val=""/>
      <w:lvlJc w:val="left"/>
    </w:lvl>
    <w:lvl w:ilvl="4" w:tplc="AA8C516E">
      <w:numFmt w:val="decimal"/>
      <w:lvlText w:val=""/>
      <w:lvlJc w:val="left"/>
    </w:lvl>
    <w:lvl w:ilvl="5" w:tplc="764E1DCE">
      <w:numFmt w:val="decimal"/>
      <w:lvlText w:val=""/>
      <w:lvlJc w:val="left"/>
    </w:lvl>
    <w:lvl w:ilvl="6" w:tplc="B4025684">
      <w:numFmt w:val="decimal"/>
      <w:lvlText w:val=""/>
      <w:lvlJc w:val="left"/>
    </w:lvl>
    <w:lvl w:ilvl="7" w:tplc="788C22F2">
      <w:numFmt w:val="decimal"/>
      <w:lvlText w:val=""/>
      <w:lvlJc w:val="left"/>
    </w:lvl>
    <w:lvl w:ilvl="8" w:tplc="00A86A62">
      <w:numFmt w:val="decimal"/>
      <w:lvlText w:val=""/>
      <w:lvlJc w:val="left"/>
    </w:lvl>
  </w:abstractNum>
  <w:abstractNum w:abstractNumId="3" w15:restartNumberingAfterBreak="0">
    <w:nsid w:val="1F05383C"/>
    <w:multiLevelType w:val="hybridMultilevel"/>
    <w:tmpl w:val="0E24D90A"/>
    <w:lvl w:ilvl="0" w:tplc="D9A87FCE">
      <w:start w:val="1"/>
      <w:numFmt w:val="bullet"/>
      <w:lvlText w:val="•"/>
      <w:lvlJc w:val="left"/>
      <w:pPr>
        <w:ind w:left="720" w:hanging="360"/>
      </w:pPr>
    </w:lvl>
    <w:lvl w:ilvl="1" w:tplc="9788B9FA">
      <w:numFmt w:val="decimal"/>
      <w:lvlText w:val=""/>
      <w:lvlJc w:val="left"/>
    </w:lvl>
    <w:lvl w:ilvl="2" w:tplc="2CD4159E">
      <w:numFmt w:val="decimal"/>
      <w:lvlText w:val=""/>
      <w:lvlJc w:val="left"/>
    </w:lvl>
    <w:lvl w:ilvl="3" w:tplc="D7A09E3E">
      <w:numFmt w:val="decimal"/>
      <w:lvlText w:val=""/>
      <w:lvlJc w:val="left"/>
    </w:lvl>
    <w:lvl w:ilvl="4" w:tplc="2C10E496">
      <w:numFmt w:val="decimal"/>
      <w:lvlText w:val=""/>
      <w:lvlJc w:val="left"/>
    </w:lvl>
    <w:lvl w:ilvl="5" w:tplc="0A34E172">
      <w:numFmt w:val="decimal"/>
      <w:lvlText w:val=""/>
      <w:lvlJc w:val="left"/>
    </w:lvl>
    <w:lvl w:ilvl="6" w:tplc="7A8844E8">
      <w:numFmt w:val="decimal"/>
      <w:lvlText w:val=""/>
      <w:lvlJc w:val="left"/>
    </w:lvl>
    <w:lvl w:ilvl="7" w:tplc="E862983E">
      <w:numFmt w:val="decimal"/>
      <w:lvlText w:val=""/>
      <w:lvlJc w:val="left"/>
    </w:lvl>
    <w:lvl w:ilvl="8" w:tplc="2FAE98AA">
      <w:numFmt w:val="decimal"/>
      <w:lvlText w:val=""/>
      <w:lvlJc w:val="left"/>
    </w:lvl>
  </w:abstractNum>
  <w:abstractNum w:abstractNumId="4" w15:restartNumberingAfterBreak="0">
    <w:nsid w:val="25D47A87"/>
    <w:multiLevelType w:val="hybridMultilevel"/>
    <w:tmpl w:val="C7D828F8"/>
    <w:lvl w:ilvl="0" w:tplc="3454E454">
      <w:start w:val="1"/>
      <w:numFmt w:val="bullet"/>
      <w:lvlText w:val="•"/>
      <w:lvlJc w:val="left"/>
      <w:pPr>
        <w:ind w:left="720" w:hanging="360"/>
      </w:pPr>
    </w:lvl>
    <w:lvl w:ilvl="1" w:tplc="26E206FC">
      <w:numFmt w:val="decimal"/>
      <w:lvlText w:val=""/>
      <w:lvlJc w:val="left"/>
    </w:lvl>
    <w:lvl w:ilvl="2" w:tplc="5DBAFE26">
      <w:numFmt w:val="decimal"/>
      <w:lvlText w:val=""/>
      <w:lvlJc w:val="left"/>
    </w:lvl>
    <w:lvl w:ilvl="3" w:tplc="893427B8">
      <w:numFmt w:val="decimal"/>
      <w:lvlText w:val=""/>
      <w:lvlJc w:val="left"/>
    </w:lvl>
    <w:lvl w:ilvl="4" w:tplc="31F259A2">
      <w:numFmt w:val="decimal"/>
      <w:lvlText w:val=""/>
      <w:lvlJc w:val="left"/>
    </w:lvl>
    <w:lvl w:ilvl="5" w:tplc="10E0B632">
      <w:numFmt w:val="decimal"/>
      <w:lvlText w:val=""/>
      <w:lvlJc w:val="left"/>
    </w:lvl>
    <w:lvl w:ilvl="6" w:tplc="4F587404">
      <w:numFmt w:val="decimal"/>
      <w:lvlText w:val=""/>
      <w:lvlJc w:val="left"/>
    </w:lvl>
    <w:lvl w:ilvl="7" w:tplc="40CE6CFE">
      <w:numFmt w:val="decimal"/>
      <w:lvlText w:val=""/>
      <w:lvlJc w:val="left"/>
    </w:lvl>
    <w:lvl w:ilvl="8" w:tplc="C0202BE8">
      <w:numFmt w:val="decimal"/>
      <w:lvlText w:val=""/>
      <w:lvlJc w:val="left"/>
    </w:lvl>
  </w:abstractNum>
  <w:abstractNum w:abstractNumId="5" w15:restartNumberingAfterBreak="0">
    <w:nsid w:val="2A2F0633"/>
    <w:multiLevelType w:val="hybridMultilevel"/>
    <w:tmpl w:val="E3BC5E42"/>
    <w:lvl w:ilvl="0" w:tplc="81C28DDA">
      <w:start w:val="1"/>
      <w:numFmt w:val="bullet"/>
      <w:lvlText w:val="•"/>
      <w:lvlJc w:val="left"/>
      <w:pPr>
        <w:ind w:left="720" w:hanging="360"/>
      </w:pPr>
    </w:lvl>
    <w:lvl w:ilvl="1" w:tplc="598CCF42">
      <w:numFmt w:val="decimal"/>
      <w:lvlText w:val=""/>
      <w:lvlJc w:val="left"/>
    </w:lvl>
    <w:lvl w:ilvl="2" w:tplc="9E14DEB0">
      <w:numFmt w:val="decimal"/>
      <w:lvlText w:val=""/>
      <w:lvlJc w:val="left"/>
    </w:lvl>
    <w:lvl w:ilvl="3" w:tplc="AD7E5360">
      <w:numFmt w:val="decimal"/>
      <w:lvlText w:val=""/>
      <w:lvlJc w:val="left"/>
    </w:lvl>
    <w:lvl w:ilvl="4" w:tplc="F8FEE32E">
      <w:numFmt w:val="decimal"/>
      <w:lvlText w:val=""/>
      <w:lvlJc w:val="left"/>
    </w:lvl>
    <w:lvl w:ilvl="5" w:tplc="13309BE4">
      <w:numFmt w:val="decimal"/>
      <w:lvlText w:val=""/>
      <w:lvlJc w:val="left"/>
    </w:lvl>
    <w:lvl w:ilvl="6" w:tplc="1A9C395C">
      <w:numFmt w:val="decimal"/>
      <w:lvlText w:val=""/>
      <w:lvlJc w:val="left"/>
    </w:lvl>
    <w:lvl w:ilvl="7" w:tplc="0EF41F00">
      <w:numFmt w:val="decimal"/>
      <w:lvlText w:val=""/>
      <w:lvlJc w:val="left"/>
    </w:lvl>
    <w:lvl w:ilvl="8" w:tplc="A73E97AE">
      <w:numFmt w:val="decimal"/>
      <w:lvlText w:val=""/>
      <w:lvlJc w:val="left"/>
    </w:lvl>
  </w:abstractNum>
  <w:abstractNum w:abstractNumId="6" w15:restartNumberingAfterBreak="0">
    <w:nsid w:val="3C9E36FA"/>
    <w:multiLevelType w:val="hybridMultilevel"/>
    <w:tmpl w:val="CCE04182"/>
    <w:lvl w:ilvl="0" w:tplc="8390B4B2">
      <w:start w:val="1"/>
      <w:numFmt w:val="decimal"/>
      <w:lvlText w:val="%1."/>
      <w:lvlJc w:val="left"/>
      <w:pPr>
        <w:ind w:left="720" w:hanging="360"/>
      </w:pPr>
    </w:lvl>
    <w:lvl w:ilvl="1" w:tplc="A176ABCE">
      <w:numFmt w:val="decimal"/>
      <w:lvlText w:val=""/>
      <w:lvlJc w:val="left"/>
    </w:lvl>
    <w:lvl w:ilvl="2" w:tplc="8070B91A">
      <w:numFmt w:val="decimal"/>
      <w:lvlText w:val=""/>
      <w:lvlJc w:val="left"/>
    </w:lvl>
    <w:lvl w:ilvl="3" w:tplc="AEE41664">
      <w:numFmt w:val="decimal"/>
      <w:lvlText w:val=""/>
      <w:lvlJc w:val="left"/>
    </w:lvl>
    <w:lvl w:ilvl="4" w:tplc="43B251FE">
      <w:numFmt w:val="decimal"/>
      <w:lvlText w:val=""/>
      <w:lvlJc w:val="left"/>
    </w:lvl>
    <w:lvl w:ilvl="5" w:tplc="0AB411B2">
      <w:numFmt w:val="decimal"/>
      <w:lvlText w:val=""/>
      <w:lvlJc w:val="left"/>
    </w:lvl>
    <w:lvl w:ilvl="6" w:tplc="18D03AA2">
      <w:numFmt w:val="decimal"/>
      <w:lvlText w:val=""/>
      <w:lvlJc w:val="left"/>
    </w:lvl>
    <w:lvl w:ilvl="7" w:tplc="DF02DB1C">
      <w:numFmt w:val="decimal"/>
      <w:lvlText w:val=""/>
      <w:lvlJc w:val="left"/>
    </w:lvl>
    <w:lvl w:ilvl="8" w:tplc="47782A48">
      <w:numFmt w:val="decimal"/>
      <w:lvlText w:val=""/>
      <w:lvlJc w:val="left"/>
    </w:lvl>
  </w:abstractNum>
  <w:abstractNum w:abstractNumId="7" w15:restartNumberingAfterBreak="0">
    <w:nsid w:val="56DD1FBA"/>
    <w:multiLevelType w:val="hybridMultilevel"/>
    <w:tmpl w:val="B0DC9054"/>
    <w:lvl w:ilvl="0" w:tplc="926A998C">
      <w:start w:val="1"/>
      <w:numFmt w:val="decimal"/>
      <w:lvlText w:val="%1."/>
      <w:lvlJc w:val="left"/>
      <w:pPr>
        <w:ind w:left="720" w:hanging="360"/>
      </w:pPr>
    </w:lvl>
    <w:lvl w:ilvl="1" w:tplc="1CA41AE8">
      <w:numFmt w:val="decimal"/>
      <w:lvlText w:val=""/>
      <w:lvlJc w:val="left"/>
    </w:lvl>
    <w:lvl w:ilvl="2" w:tplc="87CC0D02">
      <w:numFmt w:val="decimal"/>
      <w:lvlText w:val=""/>
      <w:lvlJc w:val="left"/>
    </w:lvl>
    <w:lvl w:ilvl="3" w:tplc="8C004D3E">
      <w:numFmt w:val="decimal"/>
      <w:lvlText w:val=""/>
      <w:lvlJc w:val="left"/>
    </w:lvl>
    <w:lvl w:ilvl="4" w:tplc="CF6C0D30">
      <w:numFmt w:val="decimal"/>
      <w:lvlText w:val=""/>
      <w:lvlJc w:val="left"/>
    </w:lvl>
    <w:lvl w:ilvl="5" w:tplc="6206F3DC">
      <w:numFmt w:val="decimal"/>
      <w:lvlText w:val=""/>
      <w:lvlJc w:val="left"/>
    </w:lvl>
    <w:lvl w:ilvl="6" w:tplc="E3188FFA">
      <w:numFmt w:val="decimal"/>
      <w:lvlText w:val=""/>
      <w:lvlJc w:val="left"/>
    </w:lvl>
    <w:lvl w:ilvl="7" w:tplc="D18C7248">
      <w:numFmt w:val="decimal"/>
      <w:lvlText w:val=""/>
      <w:lvlJc w:val="left"/>
    </w:lvl>
    <w:lvl w:ilvl="8" w:tplc="D902BDC6">
      <w:numFmt w:val="decimal"/>
      <w:lvlText w:val=""/>
      <w:lvlJc w:val="left"/>
    </w:lvl>
  </w:abstractNum>
  <w:abstractNum w:abstractNumId="8" w15:restartNumberingAfterBreak="0">
    <w:nsid w:val="588248C3"/>
    <w:multiLevelType w:val="hybridMultilevel"/>
    <w:tmpl w:val="58E25ECA"/>
    <w:lvl w:ilvl="0" w:tplc="002ACD08">
      <w:start w:val="1"/>
      <w:numFmt w:val="bullet"/>
      <w:lvlText w:val="•"/>
      <w:lvlJc w:val="left"/>
      <w:pPr>
        <w:ind w:left="720" w:hanging="360"/>
      </w:pPr>
    </w:lvl>
    <w:lvl w:ilvl="1" w:tplc="3DF06DA0">
      <w:numFmt w:val="decimal"/>
      <w:lvlText w:val=""/>
      <w:lvlJc w:val="left"/>
    </w:lvl>
    <w:lvl w:ilvl="2" w:tplc="012C55C2">
      <w:numFmt w:val="decimal"/>
      <w:lvlText w:val=""/>
      <w:lvlJc w:val="left"/>
    </w:lvl>
    <w:lvl w:ilvl="3" w:tplc="83C0C864">
      <w:numFmt w:val="decimal"/>
      <w:lvlText w:val=""/>
      <w:lvlJc w:val="left"/>
    </w:lvl>
    <w:lvl w:ilvl="4" w:tplc="31EA5DE0">
      <w:numFmt w:val="decimal"/>
      <w:lvlText w:val=""/>
      <w:lvlJc w:val="left"/>
    </w:lvl>
    <w:lvl w:ilvl="5" w:tplc="C1069342">
      <w:numFmt w:val="decimal"/>
      <w:lvlText w:val=""/>
      <w:lvlJc w:val="left"/>
    </w:lvl>
    <w:lvl w:ilvl="6" w:tplc="EADA3EFE">
      <w:numFmt w:val="decimal"/>
      <w:lvlText w:val=""/>
      <w:lvlJc w:val="left"/>
    </w:lvl>
    <w:lvl w:ilvl="7" w:tplc="267A78DA">
      <w:numFmt w:val="decimal"/>
      <w:lvlText w:val=""/>
      <w:lvlJc w:val="left"/>
    </w:lvl>
    <w:lvl w:ilvl="8" w:tplc="D612ECDE">
      <w:numFmt w:val="decimal"/>
      <w:lvlText w:val=""/>
      <w:lvlJc w:val="left"/>
    </w:lvl>
  </w:abstractNum>
  <w:abstractNum w:abstractNumId="9" w15:restartNumberingAfterBreak="0">
    <w:nsid w:val="5F045F3A"/>
    <w:multiLevelType w:val="hybridMultilevel"/>
    <w:tmpl w:val="DB201E68"/>
    <w:lvl w:ilvl="0" w:tplc="E160D23A">
      <w:start w:val="1"/>
      <w:numFmt w:val="bullet"/>
      <w:lvlText w:val="•"/>
      <w:lvlJc w:val="left"/>
      <w:pPr>
        <w:ind w:left="720" w:hanging="360"/>
      </w:pPr>
    </w:lvl>
    <w:lvl w:ilvl="1" w:tplc="7D4AF316">
      <w:numFmt w:val="decimal"/>
      <w:lvlText w:val=""/>
      <w:lvlJc w:val="left"/>
    </w:lvl>
    <w:lvl w:ilvl="2" w:tplc="583C7942">
      <w:numFmt w:val="decimal"/>
      <w:lvlText w:val=""/>
      <w:lvlJc w:val="left"/>
    </w:lvl>
    <w:lvl w:ilvl="3" w:tplc="56F08D18">
      <w:numFmt w:val="decimal"/>
      <w:lvlText w:val=""/>
      <w:lvlJc w:val="left"/>
    </w:lvl>
    <w:lvl w:ilvl="4" w:tplc="56427BDE">
      <w:numFmt w:val="decimal"/>
      <w:lvlText w:val=""/>
      <w:lvlJc w:val="left"/>
    </w:lvl>
    <w:lvl w:ilvl="5" w:tplc="9832402C">
      <w:numFmt w:val="decimal"/>
      <w:lvlText w:val=""/>
      <w:lvlJc w:val="left"/>
    </w:lvl>
    <w:lvl w:ilvl="6" w:tplc="442238B6">
      <w:numFmt w:val="decimal"/>
      <w:lvlText w:val=""/>
      <w:lvlJc w:val="left"/>
    </w:lvl>
    <w:lvl w:ilvl="7" w:tplc="273228D0">
      <w:numFmt w:val="decimal"/>
      <w:lvlText w:val=""/>
      <w:lvlJc w:val="left"/>
    </w:lvl>
    <w:lvl w:ilvl="8" w:tplc="393AB36C">
      <w:numFmt w:val="decimal"/>
      <w:lvlText w:val=""/>
      <w:lvlJc w:val="left"/>
    </w:lvl>
  </w:abstractNum>
  <w:abstractNum w:abstractNumId="10" w15:restartNumberingAfterBreak="0">
    <w:nsid w:val="670F7BB4"/>
    <w:multiLevelType w:val="hybridMultilevel"/>
    <w:tmpl w:val="D1B490FE"/>
    <w:lvl w:ilvl="0" w:tplc="F7120EB2">
      <w:start w:val="1"/>
      <w:numFmt w:val="bullet"/>
      <w:lvlText w:val="•"/>
      <w:lvlJc w:val="left"/>
      <w:pPr>
        <w:ind w:left="720" w:hanging="360"/>
      </w:pPr>
    </w:lvl>
    <w:lvl w:ilvl="1" w:tplc="0700F906">
      <w:numFmt w:val="decimal"/>
      <w:lvlText w:val=""/>
      <w:lvlJc w:val="left"/>
    </w:lvl>
    <w:lvl w:ilvl="2" w:tplc="1E8AFAFE">
      <w:numFmt w:val="decimal"/>
      <w:lvlText w:val=""/>
      <w:lvlJc w:val="left"/>
    </w:lvl>
    <w:lvl w:ilvl="3" w:tplc="A2121562">
      <w:numFmt w:val="decimal"/>
      <w:lvlText w:val=""/>
      <w:lvlJc w:val="left"/>
    </w:lvl>
    <w:lvl w:ilvl="4" w:tplc="96C80B7A">
      <w:numFmt w:val="decimal"/>
      <w:lvlText w:val=""/>
      <w:lvlJc w:val="left"/>
    </w:lvl>
    <w:lvl w:ilvl="5" w:tplc="CACCA92C">
      <w:numFmt w:val="decimal"/>
      <w:lvlText w:val=""/>
      <w:lvlJc w:val="left"/>
    </w:lvl>
    <w:lvl w:ilvl="6" w:tplc="7624E8C2">
      <w:numFmt w:val="decimal"/>
      <w:lvlText w:val=""/>
      <w:lvlJc w:val="left"/>
    </w:lvl>
    <w:lvl w:ilvl="7" w:tplc="DE0E64CA">
      <w:numFmt w:val="decimal"/>
      <w:lvlText w:val=""/>
      <w:lvlJc w:val="left"/>
    </w:lvl>
    <w:lvl w:ilvl="8" w:tplc="31D0597A">
      <w:numFmt w:val="decimal"/>
      <w:lvlText w:val=""/>
      <w:lvlJc w:val="left"/>
    </w:lvl>
  </w:abstractNum>
  <w:abstractNum w:abstractNumId="11" w15:restartNumberingAfterBreak="0">
    <w:nsid w:val="67CB1E02"/>
    <w:multiLevelType w:val="hybridMultilevel"/>
    <w:tmpl w:val="B1C6A5C8"/>
    <w:lvl w:ilvl="0" w:tplc="730E4500">
      <w:start w:val="1"/>
      <w:numFmt w:val="bullet"/>
      <w:lvlText w:val="•"/>
      <w:lvlJc w:val="left"/>
      <w:pPr>
        <w:ind w:left="720" w:hanging="360"/>
      </w:pPr>
    </w:lvl>
    <w:lvl w:ilvl="1" w:tplc="76DEAF00">
      <w:numFmt w:val="decimal"/>
      <w:lvlText w:val=""/>
      <w:lvlJc w:val="left"/>
    </w:lvl>
    <w:lvl w:ilvl="2" w:tplc="2DC43048">
      <w:numFmt w:val="decimal"/>
      <w:lvlText w:val=""/>
      <w:lvlJc w:val="left"/>
    </w:lvl>
    <w:lvl w:ilvl="3" w:tplc="ADEE286A">
      <w:numFmt w:val="decimal"/>
      <w:lvlText w:val=""/>
      <w:lvlJc w:val="left"/>
    </w:lvl>
    <w:lvl w:ilvl="4" w:tplc="EC540FC8">
      <w:numFmt w:val="decimal"/>
      <w:lvlText w:val=""/>
      <w:lvlJc w:val="left"/>
    </w:lvl>
    <w:lvl w:ilvl="5" w:tplc="E3026916">
      <w:numFmt w:val="decimal"/>
      <w:lvlText w:val=""/>
      <w:lvlJc w:val="left"/>
    </w:lvl>
    <w:lvl w:ilvl="6" w:tplc="E814D3CC">
      <w:numFmt w:val="decimal"/>
      <w:lvlText w:val=""/>
      <w:lvlJc w:val="left"/>
    </w:lvl>
    <w:lvl w:ilvl="7" w:tplc="AF9C7E6E">
      <w:numFmt w:val="decimal"/>
      <w:lvlText w:val=""/>
      <w:lvlJc w:val="left"/>
    </w:lvl>
    <w:lvl w:ilvl="8" w:tplc="B7A84B38">
      <w:numFmt w:val="decimal"/>
      <w:lvlText w:val=""/>
      <w:lvlJc w:val="left"/>
    </w:lvl>
  </w:abstractNum>
  <w:abstractNum w:abstractNumId="12" w15:restartNumberingAfterBreak="0">
    <w:nsid w:val="7D6F5F4D"/>
    <w:multiLevelType w:val="hybridMultilevel"/>
    <w:tmpl w:val="CD583496"/>
    <w:lvl w:ilvl="0" w:tplc="DBA4D6DC">
      <w:start w:val="1"/>
      <w:numFmt w:val="bullet"/>
      <w:lvlText w:val="•"/>
      <w:lvlJc w:val="left"/>
      <w:pPr>
        <w:ind w:left="720" w:hanging="360"/>
      </w:pPr>
    </w:lvl>
    <w:lvl w:ilvl="1" w:tplc="3E56B926">
      <w:numFmt w:val="decimal"/>
      <w:lvlText w:val=""/>
      <w:lvlJc w:val="left"/>
    </w:lvl>
    <w:lvl w:ilvl="2" w:tplc="657A5724">
      <w:numFmt w:val="decimal"/>
      <w:lvlText w:val=""/>
      <w:lvlJc w:val="left"/>
    </w:lvl>
    <w:lvl w:ilvl="3" w:tplc="888E3634">
      <w:numFmt w:val="decimal"/>
      <w:lvlText w:val=""/>
      <w:lvlJc w:val="left"/>
    </w:lvl>
    <w:lvl w:ilvl="4" w:tplc="DAFA3794">
      <w:numFmt w:val="decimal"/>
      <w:lvlText w:val=""/>
      <w:lvlJc w:val="left"/>
    </w:lvl>
    <w:lvl w:ilvl="5" w:tplc="AF8626F4">
      <w:numFmt w:val="decimal"/>
      <w:lvlText w:val=""/>
      <w:lvlJc w:val="left"/>
    </w:lvl>
    <w:lvl w:ilvl="6" w:tplc="E49CB8F2">
      <w:numFmt w:val="decimal"/>
      <w:lvlText w:val=""/>
      <w:lvlJc w:val="left"/>
    </w:lvl>
    <w:lvl w:ilvl="7" w:tplc="9F0C213E">
      <w:numFmt w:val="decimal"/>
      <w:lvlText w:val=""/>
      <w:lvlJc w:val="left"/>
    </w:lvl>
    <w:lvl w:ilvl="8" w:tplc="B5F4F918">
      <w:numFmt w:val="decimal"/>
      <w:lvlText w:val=""/>
      <w:lvlJc w:val="left"/>
    </w:lvl>
  </w:abstractNum>
  <w:num w:numId="1" w16cid:durableId="1320618365">
    <w:abstractNumId w:val="1"/>
    <w:lvlOverride w:ilvl="0">
      <w:startOverride w:val="1"/>
    </w:lvlOverride>
  </w:num>
  <w:num w:numId="2" w16cid:durableId="590238774">
    <w:abstractNumId w:val="11"/>
    <w:lvlOverride w:ilvl="0">
      <w:startOverride w:val="1"/>
    </w:lvlOverride>
  </w:num>
  <w:num w:numId="3" w16cid:durableId="1782719183">
    <w:abstractNumId w:val="10"/>
    <w:lvlOverride w:ilvl="0">
      <w:startOverride w:val="1"/>
    </w:lvlOverride>
  </w:num>
  <w:num w:numId="4" w16cid:durableId="26805401">
    <w:abstractNumId w:val="8"/>
    <w:lvlOverride w:ilvl="0">
      <w:startOverride w:val="1"/>
    </w:lvlOverride>
  </w:num>
  <w:num w:numId="5" w16cid:durableId="519704546">
    <w:abstractNumId w:val="5"/>
    <w:lvlOverride w:ilvl="0">
      <w:startOverride w:val="1"/>
    </w:lvlOverride>
  </w:num>
  <w:num w:numId="6" w16cid:durableId="1220022416">
    <w:abstractNumId w:val="3"/>
    <w:lvlOverride w:ilvl="0">
      <w:startOverride w:val="1"/>
    </w:lvlOverride>
  </w:num>
  <w:num w:numId="7" w16cid:durableId="464002998">
    <w:abstractNumId w:val="12"/>
    <w:lvlOverride w:ilvl="0">
      <w:startOverride w:val="1"/>
    </w:lvlOverride>
  </w:num>
  <w:num w:numId="8" w16cid:durableId="964505084">
    <w:abstractNumId w:val="4"/>
    <w:lvlOverride w:ilvl="0">
      <w:startOverride w:val="1"/>
    </w:lvlOverride>
  </w:num>
  <w:num w:numId="9" w16cid:durableId="188358958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694"/>
    <w:rsid w:val="00065694"/>
    <w:rsid w:val="0037373D"/>
    <w:rsid w:val="00A83863"/>
    <w:rsid w:val="00F0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8092"/>
  <w15:docId w15:val="{468027D4-FF7B-4BEB-B5E3-D23608F2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63"/>
  </w:style>
  <w:style w:type="paragraph" w:styleId="Heading1">
    <w:name w:val="heading 1"/>
    <w:uiPriority w:val="9"/>
    <w:qFormat/>
    <w:pPr>
      <w:spacing w:before="320" w:after="200"/>
      <w:outlineLvl w:val="0"/>
    </w:pPr>
    <w:rPr>
      <w:b/>
      <w:bCs/>
      <w:color w:val="1A3461"/>
      <w:sz w:val="32"/>
      <w:szCs w:val="32"/>
    </w:rPr>
  </w:style>
  <w:style w:type="paragraph" w:styleId="Heading2">
    <w:name w:val="heading 2"/>
    <w:uiPriority w:val="9"/>
    <w:unhideWhenUsed/>
    <w:qFormat/>
    <w:pPr>
      <w:spacing w:before="240" w:after="160"/>
      <w:outlineLvl w:val="1"/>
    </w:pPr>
    <w:rPr>
      <w:b/>
      <w:bCs/>
      <w:color w:val="1A3461"/>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3770</Words>
  <Characters>21753</Characters>
  <Application>Microsoft Office Word</Application>
  <DocSecurity>0</DocSecurity>
  <Lines>587</Lines>
  <Paragraphs>364</Paragraphs>
  <ScaleCrop>false</ScaleCrop>
  <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Ra</cp:lastModifiedBy>
  <cp:revision>2</cp:revision>
  <dcterms:created xsi:type="dcterms:W3CDTF">2026-03-31T16:22:00Z</dcterms:created>
  <dcterms:modified xsi:type="dcterms:W3CDTF">2026-03-31T16:53:00Z</dcterms:modified>
</cp:coreProperties>
</file>