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400"/>
      </w:pPr>
      <w:r>
        <w:rPr>
          <w:b/>
          <w:bCs/>
          <w:color w:val="0FB5A6"/>
          <w:sz w:val="34"/>
          <w:szCs w:val="34"/>
        </w:rPr>
        <w:t xml:space="preserve">eNovAIte.ca</w:t>
      </w:r>
    </w:p>
    <w:p>
      <w:pPr>
        <w:spacing w:after="480"/>
      </w:pPr>
      <w:r>
        <w:rPr>
          <w:i/>
          <w:iCs/>
          <w:color w:val="4A5568"/>
          <w:sz w:val="20"/>
          <w:szCs w:val="20"/>
        </w:rPr>
        <w:t xml:space="preserve">Fractional CTO for Canadian Financial Services</w:t>
      </w:r>
    </w:p>
    <w:p>
      <w:pPr>
        <w:spacing w:after="100"/>
      </w:pPr>
      <w:r>
        <w:rPr>
          <w:color w:val="4A5568"/>
          <w:sz w:val="24"/>
          <w:szCs w:val="24"/>
        </w:rPr>
        <w:t xml:space="preserve">The 15-Minute</w:t>
      </w:r>
    </w:p>
    <w:p>
      <w:pPr>
        <w:spacing w:after="120"/>
      </w:pPr>
      <w:r>
        <w:rPr>
          <w:b/>
          <w:bCs/>
          <w:color w:val="0A3D4A"/>
          <w:sz w:val="44"/>
          <w:szCs w:val="44"/>
        </w:rPr>
        <w:t xml:space="preserve">Regulatory Exposure Check</w:t>
      </w:r>
    </w:p>
    <w:p>
      <w:pPr>
        <w:spacing w:after="400"/>
      </w:pPr>
      <w:r>
        <w:rPr>
          <w:color w:val="0FB5A6"/>
          <w:sz w:val="24"/>
          <w:szCs w:val="24"/>
        </w:rPr>
        <w:t xml:space="preserve">Self-Assessment Worksheet — For Ontario Credit Unions</w:t>
      </w:r>
    </w:p>
    <w:p>
      <w:pPr>
        <w:pBdr>
          <w:bottom w:val="single" w:color="0FB5A6" w:sz="12" w:space="4"/>
        </w:pBdr>
        <w:spacing w:after="200"/>
      </w:pPr>
    </w:p>
    <w:p>
      <w:pPr>
        <w:spacing w:after="120"/>
      </w:pPr>
      <w:r>
        <w:rPr>
          <w:color w:val="4A5568"/>
          <w:sz w:val="22"/>
          <w:szCs w:val="22"/>
        </w:rPr>
        <w:t xml:space="preserve">Prepared by: </w:t>
      </w:r>
      <w:r>
        <w:rPr>
          <w:b/>
          <w:bCs/>
          <w:sz w:val="22"/>
          <w:szCs w:val="22"/>
        </w:rPr>
        <w:t xml:space="preserve">Floyd James, eNovAIte.ca</w:t>
      </w:r>
    </w:p>
    <w:p>
      <w:pPr>
        <w:spacing w:after="120"/>
      </w:pPr>
      <w:r>
        <w:rPr>
          <w:color w:val="4A5568"/>
          <w:sz w:val="22"/>
          <w:szCs w:val="22"/>
        </w:rPr>
        <w:t xml:space="preserve">For: </w:t>
      </w:r>
      <w:r>
        <w:rPr>
          <w:sz w:val="22"/>
          <w:szCs w:val="22"/>
        </w:rPr>
        <w:t xml:space="preserve">Ontario credit union COOs, CFOs, and IT leaders assessing exposure to the 2026–2027 EOL cliff</w:t>
      </w:r>
    </w:p>
    <w:p>
      <w:pPr>
        <w:spacing w:after="120"/>
      </w:pPr>
      <w:r>
        <w:rPr>
          <w:color w:val="4A5568"/>
          <w:sz w:val="22"/>
          <w:szCs w:val="22"/>
        </w:rPr>
        <w:t xml:space="preserve">Version: </w:t>
      </w:r>
      <w:r>
        <w:rPr>
          <w:sz w:val="22"/>
          <w:szCs w:val="22"/>
        </w:rPr>
        <w:t xml:space="preserve">1.0 — July 2026</w:t>
      </w:r>
    </w:p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How to use this worksheet</w:t>
      </w:r>
    </w:p>
    <w:p>
      <w:pPr>
        <w:spacing w:after="120"/>
      </w:pPr>
      <w:r>
        <w:rPr>
          <w:sz w:val="22"/>
          <w:szCs w:val="22"/>
        </w:rPr>
        <w:t xml:space="preserve">This is the offline companion to the interactive assessment at eNovAIte.ca. It covers the same six exposure dimensions and produces the same 0-100 score. Use it to: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Complete the assessment on paper or in Word before circulating internally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Walk through the questions collaboratively during a discovery 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Distribute to your Audit or Risk Committee as a briefing document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How long it takes</w:t>
      </w:r>
    </w:p>
    <w:p>
      <w:pPr>
        <w:spacing w:after="120"/>
      </w:pPr>
      <w:r>
        <w:rPr>
          <w:sz w:val="22"/>
          <w:szCs w:val="22"/>
        </w:rPr>
        <w:t xml:space="preserve">About 15 minutes if you have approximate counts to hand. Longer if you need to pull the numbers — which is itself a useful signal about the state of your asset inventory.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What we don't ask</w:t>
      </w:r>
    </w:p>
    <w:p>
      <w:pPr>
        <w:spacing w:after="120"/>
      </w:pPr>
      <w:r>
        <w:rPr>
          <w:sz w:val="22"/>
          <w:szCs w:val="22"/>
        </w:rPr>
        <w:t xml:space="preserve">Nothing about prior FSRA supervisory letters or incident notifications. Nothing that requires a live pull from your asset management system. This worksheet stays with you unless you choose to send it.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How the score is used</w:t>
      </w:r>
    </w:p>
    <w:p>
      <w:pPr>
        <w:spacing w:after="120"/>
      </w:pPr>
      <w:r>
        <w:rPr>
          <w:sz w:val="22"/>
          <w:szCs w:val="22"/>
        </w:rPr>
        <w:t xml:space="preserve">The score is a high-level indicator, not a compliance opinion. It's designed to answer one question: is this urgent enough to warrant a deeper conversation right now? If your score sits in the Elevated or Critical band, that answer is almost certainly yes.</w:t>
      </w:r>
    </w:p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Section 1 · Organization basics</w:t>
      </w:r>
    </w:p>
    <w:p>
      <w:pPr>
        <w:spacing w:after="120"/>
      </w:pPr>
      <w:r>
        <w:rPr>
          <w:sz w:val="22"/>
          <w:szCs w:val="22"/>
        </w:rPr>
        <w:t xml:space="preserve">Just enough context to calibrate the recommendations.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1.1  Approximate AUM band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Under $150M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$150M – $500M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$500M – $1B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$1B – $2B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$2B – $5B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Over $5B</w:t>
      </w:r>
    </w:p>
    <w:p>
      <w:pPr>
        <w:spacing w:after="40" w:before="100"/>
      </w:pPr>
      <w:r>
        <w:rPr>
          <w:b/>
          <w:bCs/>
          <w:color w:val="0A3D4A"/>
          <w:sz w:val="22"/>
          <w:szCs w:val="22"/>
        </w:rPr>
        <w:t xml:space="preserve">1.2  Number of branches / locations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spacing w:after="40" w:before="100"/>
      </w:pPr>
      <w:r>
        <w:rPr>
          <w:b/>
          <w:bCs/>
          <w:color w:val="0A3D4A"/>
          <w:sz w:val="22"/>
          <w:szCs w:val="22"/>
        </w:rPr>
        <w:t xml:space="preserve">1.3  Number of data centre locations</w:t>
      </w:r>
      <w:r>
        <w:rPr>
          <w:i/>
          <w:iCs/>
          <w:color w:val="4A5568"/>
          <w:sz w:val="20"/>
          <w:szCs w:val="20"/>
        </w:rPr>
        <w:t xml:space="preserve">   Include colo, on-prem, and hybrid landing zones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spacing w:after="40" w:before="100"/>
      </w:pPr>
      <w:r>
        <w:rPr>
          <w:b/>
          <w:bCs/>
          <w:color w:val="0A3D4A"/>
          <w:sz w:val="22"/>
          <w:szCs w:val="22"/>
        </w:rPr>
        <w:t xml:space="preserve">1.4  In-house IT / Security headcount (FTE, not counting MSP)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1.5  Primary core banking platform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Celero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Central 1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League Data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DNA / Fiserv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Other / on-premise</w:t>
      </w:r>
    </w:p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Section 2 · Server inventory</w:t>
      </w:r>
    </w:p>
    <w:p>
      <w:pPr>
        <w:spacing w:after="120"/>
      </w:pPr>
      <w:r>
        <w:rPr>
          <w:sz w:val="22"/>
          <w:szCs w:val="22"/>
        </w:rPr>
        <w:t xml:space="preserve">Approximate counts are fine. Nobody expects a live CMDB pull for a 15-minute survey.</w:t>
      </w:r>
    </w:p>
    <w:p>
      <w:pPr>
        <w:spacing w:after="40" w:before="100"/>
      </w:pPr>
      <w:r>
        <w:rPr>
          <w:b/>
          <w:bCs/>
          <w:color w:val="0A3D4A"/>
          <w:sz w:val="22"/>
          <w:szCs w:val="22"/>
        </w:rPr>
        <w:t xml:space="preserve">2.1  Total server count (approximate)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2.2  Windows Server OS distribution</w:t>
      </w:r>
    </w:p>
    <w:p>
      <w:pPr>
        <w:spacing w:after="120"/>
      </w:pPr>
      <w:r>
        <w:rPr>
          <w:sz w:val="22"/>
          <w:szCs w:val="22"/>
        </w:rPr>
        <w:t xml:space="preserve">Roughly how many of your servers run each version: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4400"/>
      </w:tblGrid>
      <w:tr>
        <w:tc>
          <w:tcPr>
            <w:tcW w:type="dxa" w:w="54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Windows Server</w:t>
            </w:r>
          </w:p>
        </w:tc>
        <w:tc>
          <w:tcPr>
            <w:tcW w:type="dxa" w:w="44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Count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Server 2012 / 2012 R2  (EOL Oct 13, 2026)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Server 2016  (EOL Jan 12, 2027)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Server 2019 or newer  (supported)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Non-Windows (Linux, appliances)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  <w:r>
        <w:t xml:space="preserve"/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2.3  Deployment mix — approximate percentages</w:t>
      </w:r>
    </w:p>
    <w:p>
      <w:pPr>
        <w:spacing w:after="120"/>
      </w:pPr>
      <w:r>
        <w:rPr>
          <w:i/>
          <w:iCs/>
          <w:color w:val="4A5568"/>
          <w:sz w:val="20"/>
          <w:szCs w:val="20"/>
        </w:rPr>
        <w:t xml:space="preserve">Should total ~100%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4400"/>
      </w:tblGrid>
      <w:tr>
        <w:tc>
          <w:tcPr>
            <w:tcW w:type="dxa" w:w="54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Deployment type</w:t>
            </w:r>
          </w:p>
        </w:tc>
        <w:tc>
          <w:tcPr>
            <w:tcW w:type="dxa" w:w="44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%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Physical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Virtual (on-prem)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Cloud (IaaS / PaaS)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Section 3 · Databases and platform services</w:t>
      </w:r>
    </w:p>
    <w:p>
      <w:pPr>
        <w:spacing w:after="120"/>
      </w:pPr>
      <w:r>
        <w:rPr>
          <w:sz w:val="22"/>
          <w:szCs w:val="22"/>
        </w:rPr>
        <w:t xml:space="preserve">The layer most often overlooked in EOL planning.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3.1  SQL Server versions in production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00"/>
        <w:gridCol w:w="4400"/>
      </w:tblGrid>
      <w:tr>
        <w:tc>
          <w:tcPr>
            <w:tcW w:type="dxa" w:w="54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SQL Server version</w:t>
            </w:r>
          </w:p>
        </w:tc>
        <w:tc>
          <w:tcPr>
            <w:tcW w:type="dxa" w:w="44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Instance count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SQL 2012 / 2014  (both past EOL)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SQL 2016 / 2017  (2016 EOL Jul 2026)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5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SQL 2019 or newer  (supported)</w:t>
            </w:r>
          </w:p>
        </w:tc>
        <w:tc>
          <w:tcPr>
            <w:tcW w:type="dxa" w:w="44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spacing w:after="100"/>
      </w:pPr>
      <w:r>
        <w:t xml:space="preserve"/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3.2  Mail platform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Microsoft 365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Exchange on-premise (2016 / 2019 both past EOL)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Hybrid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Other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3.3  Active Directory forest — approximate age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Under 5 years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5–10 years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Over 10 years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Not sure</w:t>
      </w:r>
    </w:p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Section 4 · Endpoints</w:t>
      </w:r>
    </w:p>
    <w:p>
      <w:pPr>
        <w:spacing w:after="120"/>
      </w:pPr>
      <w:r>
        <w:rPr>
          <w:sz w:val="22"/>
          <w:szCs w:val="22"/>
        </w:rPr>
        <w:t xml:space="preserve">Windows 10 reached end of support in October 2025.</w:t>
      </w:r>
    </w:p>
    <w:p>
      <w:pPr>
        <w:spacing w:after="40" w:before="100"/>
      </w:pPr>
      <w:r>
        <w:rPr>
          <w:b/>
          <w:bCs/>
          <w:color w:val="0A3D4A"/>
          <w:sz w:val="22"/>
          <w:szCs w:val="22"/>
        </w:rPr>
        <w:t xml:space="preserve">4.1  Approximate workstation / laptop count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4.2  Primary desktop OS across your fleet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Mostly Windows 11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Mix of Windows 10 and 11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Mostly Windows 10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Some legacy present (pre-Windows 10)</w:t>
      </w:r>
    </w:p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Section 5 · Management and remediation readiness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5.1  Approximate share of servers managed by an external MSP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None (fully self-managed)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Less than half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More than half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All / nearly all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5.2  Remediation budget defined for current fiscal year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Yes, defined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In planning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Not yet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5.3  Remediation planning status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Underway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Scoped but not started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Not yet</w:t>
      </w:r>
    </w:p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Section 6 · Regulatory preparedness</w:t>
      </w:r>
    </w:p>
    <w:p>
      <w:pPr>
        <w:spacing w:after="120"/>
      </w:pPr>
      <w:r>
        <w:rPr>
          <w:sz w:val="22"/>
          <w:szCs w:val="22"/>
        </w:rPr>
        <w:t xml:space="preserve">Three questions FSRA supervisors are increasingly asking under the SBFP Rule.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6.1  Do you have an authoritative asset inventory (CMDB or equivalent)?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Yes, current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Partial or stale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No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6.2  When was your last independent IT risk assessment?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Within 12 months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12 – 24 months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Over 24 months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Never / unsure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6.3  Documented incident response plan tested in past 12 months?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Yes, tested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Documented but not tested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No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6.4  What's driving this assessment right now?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Board or audit committee is asking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External auditor has flagged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Peer news or sector chatter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FSRA supervisory engagement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Self-directed research</w:t>
      </w:r>
    </w:p>
    <w:p>
      <w:pPr>
        <w:spacing w:after="40"/>
        <w:ind w:left="360"/>
      </w:pPr>
      <w:r>
        <w:rPr>
          <w:color w:val="0A3D4A"/>
          <w:sz w:val="24"/>
          <w:szCs w:val="24"/>
        </w:rPr>
        <w:t xml:space="preserve">☐   </w:t>
      </w:r>
      <w:r>
        <w:rPr>
          <w:color w:val="0A3D4A"/>
          <w:sz w:val="22"/>
          <w:szCs w:val="22"/>
        </w:rPr>
        <w:t xml:space="preserve">Other</w:t>
      </w:r>
    </w:p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Scoring — how to convert your answers</w:t>
      </w:r>
    </w:p>
    <w:p>
      <w:pPr>
        <w:spacing w:after="120"/>
      </w:pPr>
      <w:r>
        <w:rPr>
          <w:sz w:val="22"/>
          <w:szCs w:val="22"/>
        </w:rPr>
        <w:t xml:space="preserve">Each dimension is scored 0-100, then multiplied by its weight. Sum the weighted scores for your total.</w:t>
      </w:r>
    </w:p>
    <w:p>
      <w:pPr>
        <w:spacing w:after="100" w:before="240"/>
      </w:pPr>
      <w:r>
        <w:rPr>
          <w:b/>
          <w:bCs/>
          <w:color w:val="0FB5A6"/>
          <w:sz w:val="26"/>
          <w:szCs w:val="26"/>
        </w:rPr>
        <w:t xml:space="preserve">Dimension weights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600"/>
      </w:tblGrid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Server Currency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35%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Database Currency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Endpoint Currency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10%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Management Coverage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Remediation Readiness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15%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Regulatory Preparedness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10%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Total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100%</w:t>
            </w:r>
          </w:p>
        </w:tc>
      </w:tr>
    </w:tbl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Dimension 1 · Server Currency (35%)</w:t>
      </w:r>
    </w:p>
    <w:p>
      <w:pPr>
        <w:spacing w:after="120"/>
      </w:pPr>
      <w:r>
        <w:rPr>
          <w:sz w:val="22"/>
          <w:szCs w:val="22"/>
        </w:rPr>
        <w:t xml:space="preserve">Score = (Servers on 2019+ ÷ Total Windows servers) × 100. Subtract 20 points if any Windows Server 2012 / 2012 R2 is present.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Dimension 2 · Database Currency (15%)</w:t>
      </w:r>
    </w:p>
    <w:p>
      <w:pPr>
        <w:spacing w:after="120"/>
      </w:pPr>
      <w:r>
        <w:rPr>
          <w:sz w:val="22"/>
          <w:szCs w:val="22"/>
        </w:rPr>
        <w:t xml:space="preserve">Score = (SQL 2019+ instances ÷ Total SQL instances) × 100. Subtract 20 points if any SQL 2012 / 2014 is present.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Dimension 3 · Endpoint Currency (10%)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600"/>
      </w:tblGrid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Mostly Windows 11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100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Mix of 10 and 11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60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Mostly Windows 10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20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Legacy present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0</w:t>
            </w:r>
          </w:p>
        </w:tc>
      </w:tr>
    </w:tbl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Dimension 4 · Management Coverage (15%)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600"/>
      </w:tblGrid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All / nearly all MSP-managed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90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More than half MSP-managed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75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Less than half MSP-managed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55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Self-managed with in-house team ≥ 3 FTE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65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Self-managed with in-house team &lt; 3 FTE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25</w:t>
            </w:r>
          </w:p>
        </w:tc>
      </w:tr>
    </w:tbl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Dimension 5 · Remediation Readiness (15%)</w:t>
      </w:r>
    </w:p>
    <w:p>
      <w:pPr>
        <w:spacing w:after="120"/>
      </w:pPr>
      <w:r>
        <w:rPr>
          <w:sz w:val="22"/>
          <w:szCs w:val="22"/>
        </w:rPr>
        <w:t xml:space="preserve">Add the two component scores: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600"/>
      </w:tblGrid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Budget defined (50) · In planning (25) · Not yet (0)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Component A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Planning underway (50) · Scoped (25) · Not yet (0)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Component B</w:t>
            </w:r>
          </w:p>
        </w:tc>
      </w:tr>
    </w:tbl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Dimension 6 · Regulatory Preparedness (10%)</w:t>
      </w:r>
    </w:p>
    <w:p>
      <w:pPr>
        <w:spacing w:after="120"/>
      </w:pPr>
      <w:r>
        <w:rPr>
          <w:sz w:val="22"/>
          <w:szCs w:val="22"/>
        </w:rPr>
        <w:t xml:space="preserve">Sum the three components: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600"/>
      </w:tblGrid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Current CMDB (35) · Partial (15) · None (0)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Component A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Risk assessment within 12mo (35) · 12-24mo (20) · Over 24mo (5) · Never (0)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Component B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IR plan tested (30) · Documented (15) · None (0)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Component C</w:t>
            </w:r>
          </w:p>
        </w:tc>
      </w:tr>
    </w:tbl>
    <w:p>
      <w:pPr>
        <w:spacing w:after="100" w:before="240"/>
      </w:pPr>
      <w:r>
        <w:rPr>
          <w:b/>
          <w:bCs/>
          <w:color w:val="0FB5A6"/>
          <w:sz w:val="26"/>
          <w:szCs w:val="26"/>
        </w:rPr>
        <w:t xml:space="preserve">Total exposure score bands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6600"/>
      </w:tblGrid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80 – 100 · Low Exposure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Well positioned. Targeted attention to any remaining gaps, no red flags for the board today.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60 – 79 · Moderate Exposure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Real gaps that a competent 12-month plan will close. Worth walking your Audit Committee through the roadmap.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40 – 59 · Elevated Exposure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Active board-level concern. Remediation window measured in quarters. Your regulatory register needs an owner named against each item.</w:t>
            </w:r>
          </w:p>
        </w:tc>
      </w:tr>
      <w:tr>
        <w:tc>
          <w:tcPr>
            <w:tcW w:type="dxa" w:w="32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0 – 39 · Critical Exposure</w:t>
            </w:r>
          </w:p>
        </w:tc>
        <w:tc>
          <w:tcPr>
            <w:tcW w:type="dxa" w:w="66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Likely FSRA-visible on next assessment. Rapid triage recommended: inventory, board memo, and remediation sequencing within 30 days.</w:t>
            </w:r>
          </w:p>
        </w:tc>
      </w:tr>
    </w:tbl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Your results</w:t>
      </w:r>
    </w:p>
    <w:p>
      <w:pPr>
        <w:spacing w:after="100" w:before="240"/>
      </w:pPr>
      <w:r>
        <w:rPr>
          <w:b/>
          <w:bCs/>
          <w:color w:val="0FB5A6"/>
          <w:sz w:val="26"/>
          <w:szCs w:val="26"/>
        </w:rPr>
        <w:t xml:space="preserve">Weighted score summary</w:t>
      </w:r>
    </w:p>
    <w:tbl>
      <w:tblPr>
        <w:tblW w:type="dxa" w:w="9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0"/>
        <w:gridCol w:w="2000"/>
        <w:gridCol w:w="1800"/>
        <w:gridCol w:w="2000"/>
      </w:tblGrid>
      <w:tr>
        <w:tc>
          <w:tcPr>
            <w:tcW w:type="dxa" w:w="4000"/>
            <w:shd w:fill="0A3D4A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Dimension</w:t>
            </w:r>
          </w:p>
        </w:tc>
        <w:tc>
          <w:tcPr>
            <w:tcW w:type="dxa" w:w="2000"/>
            <w:shd w:fill="0A3D4A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Raw (0-100)</w:t>
            </w:r>
          </w:p>
        </w:tc>
        <w:tc>
          <w:tcPr>
            <w:tcW w:type="dxa" w:w="1800"/>
            <w:shd w:fill="0A3D4A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Weight</w:t>
            </w:r>
          </w:p>
        </w:tc>
        <w:tc>
          <w:tcPr>
            <w:tcW w:type="dxa" w:w="2000"/>
            <w:shd w:fill="0A3D4A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Weighted</w:t>
            </w:r>
          </w:p>
        </w:tc>
      </w:tr>
      <w:tr>
        <w:tc>
          <w:tcPr>
            <w:tcW w:type="dxa" w:w="4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Server Currency</w:t>
            </w:r>
          </w:p>
        </w:tc>
        <w:tc>
          <w:tcPr>
            <w:tcW w:type="dxa" w:w="2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× 0.35</w:t>
            </w:r>
          </w:p>
        </w:tc>
        <w:tc>
          <w:tcPr>
            <w:tcW w:type="dxa" w:w="2000"/>
            <w:shd w:fill="F1F5F9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Database Currency</w:t>
            </w:r>
          </w:p>
        </w:tc>
        <w:tc>
          <w:tcPr>
            <w:tcW w:type="dxa" w:w="2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× 0.15</w:t>
            </w:r>
          </w:p>
        </w:tc>
        <w:tc>
          <w:tcPr>
            <w:tcW w:type="dxa" w:w="2000"/>
            <w:shd w:fill="F1F5F9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Endpoint Currency</w:t>
            </w:r>
          </w:p>
        </w:tc>
        <w:tc>
          <w:tcPr>
            <w:tcW w:type="dxa" w:w="2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× 0.10</w:t>
            </w:r>
          </w:p>
        </w:tc>
        <w:tc>
          <w:tcPr>
            <w:tcW w:type="dxa" w:w="2000"/>
            <w:shd w:fill="F1F5F9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Management Coverage</w:t>
            </w:r>
          </w:p>
        </w:tc>
        <w:tc>
          <w:tcPr>
            <w:tcW w:type="dxa" w:w="2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× 0.15</w:t>
            </w:r>
          </w:p>
        </w:tc>
        <w:tc>
          <w:tcPr>
            <w:tcW w:type="dxa" w:w="2000"/>
            <w:shd w:fill="F1F5F9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Remediation Readiness</w:t>
            </w:r>
          </w:p>
        </w:tc>
        <w:tc>
          <w:tcPr>
            <w:tcW w:type="dxa" w:w="2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× 0.15</w:t>
            </w:r>
          </w:p>
        </w:tc>
        <w:tc>
          <w:tcPr>
            <w:tcW w:type="dxa" w:w="2000"/>
            <w:shd w:fill="F1F5F9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Regulatory Preparedness</w:t>
            </w:r>
          </w:p>
        </w:tc>
        <w:tc>
          <w:tcPr>
            <w:tcW w:type="dxa" w:w="20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× 0.10</w:t>
            </w:r>
          </w:p>
        </w:tc>
        <w:tc>
          <w:tcPr>
            <w:tcW w:type="dxa" w:w="2000"/>
            <w:shd w:fill="F1F5F9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0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0A3D4A"/>
                <w:sz w:val="20"/>
                <w:szCs w:val="20"/>
              </w:rPr>
              <w:t xml:space="preserve">TOTAL</w:t>
            </w:r>
          </w:p>
        </w:tc>
        <w:tc>
          <w:tcPr>
            <w:tcW w:type="dxa" w:w="20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E0F5F2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shd w:fill="0FB5A6" w:color="auto" w:val="clear"/>
            <w:tcMar>
              <w:top w:type="dxa" w:w="120"/>
              <w:left w:type="dxa" w:w="140"/>
              <w:bottom w:type="dxa" w:w="120"/>
              <w:right w:type="dxa" w:w="140"/>
            </w:tcMar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 / 100</w:t>
            </w:r>
          </w:p>
        </w:tc>
      </w:tr>
    </w:tbl>
    <w:p>
      <w:pPr>
        <w:spacing w:after="100"/>
      </w:pPr>
      <w:r>
        <w:t xml:space="preserve"/>
      </w:r>
    </w:p>
    <w:p>
      <w:pPr>
        <w:spacing w:after="40" w:before="100"/>
      </w:pPr>
      <w:r>
        <w:rPr>
          <w:b/>
          <w:bCs/>
          <w:color w:val="0A3D4A"/>
          <w:sz w:val="22"/>
          <w:szCs w:val="22"/>
        </w:rPr>
        <w:t xml:space="preserve">Category (Low / Moderate / Elevated / Critical)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spacing w:after="100" w:before="240"/>
      </w:pPr>
      <w:r>
        <w:rPr>
          <w:b/>
          <w:bCs/>
          <w:color w:val="0FB5A6"/>
          <w:sz w:val="26"/>
          <w:szCs w:val="26"/>
        </w:rPr>
        <w:t xml:space="preserve">Notes and gaps identified</w:t>
      </w:r>
    </w:p>
    <w:p>
      <w:pPr>
        <w:spacing w:after="120"/>
      </w:pPr>
      <w:r>
        <w:rPr>
          <w:i/>
          <w:iCs/>
          <w:color w:val="4A5568"/>
          <w:sz w:val="20"/>
          <w:szCs w:val="20"/>
        </w:rPr>
        <w:t xml:space="preserve">Use this space to note the specific EOL exposures, missing controls, or regulatory surfaces most at risk. Recommended format: one line per gap, with a proposed owner and target date.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pPr>
        <w:pBdr>
          <w:bottom w:val="single" w:color="4A5568" w:sz="6" w:space="10"/>
        </w:pBdr>
        <w:spacing w:after="140"/>
      </w:pPr>
      <w:r>
        <w:rPr>
          <w:sz w:val="22"/>
          <w:szCs w:val="22"/>
        </w:rPr>
        <w:t xml:space="preserve"> </w:t>
      </w:r>
    </w:p>
    <w:p>
      <w:r>
        <w:br w:type="page"/>
      </w:r>
    </w:p>
    <w:p>
      <w:pPr>
        <w:spacing w:after="140" w:before="320"/>
      </w:pPr>
      <w:r>
        <w:rPr>
          <w:b/>
          <w:bCs/>
          <w:color w:val="0A3D4A"/>
          <w:sz w:val="32"/>
          <w:szCs w:val="32"/>
        </w:rPr>
        <w:t xml:space="preserve">Recommended next steps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If your score sits in the Critical band (0-39)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Within 14 days: produce a full server, SQL, and endpoint inventory with EOL dates named against each asset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Within 30 days: table a board memo covering ESU spend, migration cost estimate, cost of inaction, and regulatory exposure map (FSRA / PIPEDA / PCI-DSS)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Within 60 days: costed remediation roadmap with named owners and quarterly milestones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If your score sits in the Elevated band (40-59)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Within 30 days: consolidate the EOL asset register into a single board-ready view; every item with an owner, date, and cost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Within 60 days: sequence remediation against the FSRA IT-risk register; regulatory exposure map signed off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Within 90 days: begin quarterly progress reporting to the Audit / Risk Committee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If your score sits in the Moderate band (60-79)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Confirm remediation is tracking against dates; run a tabletop of the 48-hour incident notification process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Verify the CMDB reflects the actual environment — an inventory gap is a control-effectiveness gap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Refresh the independent IT risk assessment if it will pass 12 months before your next FSRA touchpoint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If your score sits in the Low band (80-100)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Maintain the discipline. Refresh the independent risk assessment annually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Consider sharing your practices with peer CUs — sector-level maturity lifts everyone</w:t>
      </w:r>
    </w:p>
    <w:p>
      <w:pPr>
        <w:pBdr>
          <w:bottom w:val="single" w:color="0FB5A6" w:sz="12" w:space="4"/>
        </w:pBdr>
        <w:spacing w:after="200"/>
      </w:pPr>
    </w:p>
    <w:p>
      <w:pPr>
        <w:spacing w:after="100" w:before="240"/>
      </w:pPr>
      <w:r>
        <w:rPr>
          <w:b/>
          <w:bCs/>
          <w:color w:val="0FB5A6"/>
          <w:sz w:val="26"/>
          <w:szCs w:val="26"/>
        </w:rPr>
        <w:t xml:space="preserve">What a 30-Day EOL &amp; Regulatory Exposure Audit produces</w:t>
      </w:r>
    </w:p>
    <w:p>
      <w:pPr>
        <w:spacing w:after="120"/>
      </w:pPr>
      <w:r>
        <w:rPr>
          <w:sz w:val="22"/>
          <w:szCs w:val="22"/>
        </w:rPr>
        <w:t xml:space="preserve">This worksheet is a high-level indicator. A full audit engagement produces the board-ready version: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validated asset register with EOL dates, cost of inaction, and remediation cost per asset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12-month remediation roadmap mapped to FSRA's IT Risk Management Guidance under the SBFP Rule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regulatory exposure map covering FSRA, PIPEDA, and PCI-DSS surfaces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cost-of-inaction model including ESU premium, breach probability, and DIRF assessment impact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board-ready summary memo suitable for Audit Committee review</w:t>
      </w:r>
    </w:p>
    <w:p>
      <w:pPr>
        <w:spacing w:after="100"/>
      </w:pPr>
      <w:r>
        <w:t xml:space="preserve"/>
      </w:r>
    </w:p>
    <w:p>
      <w:pPr>
        <w:spacing w:after="120"/>
      </w:pPr>
      <w:r>
        <w:rPr>
          <w:sz w:val="22"/>
          <w:szCs w:val="22"/>
        </w:rPr>
        <w:t xml:space="preserve">Fee: $8,000 – $15,000 fixed (scope dependent). Typically converts to a Fractional CTO retainer at $5,000 – $15,000 / month.</w:t>
      </w:r>
    </w:p>
    <w:p>
      <w:pPr>
        <w:spacing w:after="80" w:before="180"/>
      </w:pPr>
      <w:r>
        <w:rPr>
          <w:b/>
          <w:bCs/>
          <w:color w:val="0A3D4A"/>
          <w:sz w:val="22"/>
          <w:szCs w:val="22"/>
        </w:rPr>
        <w:t xml:space="preserve">Book a 20-minute call</w:t>
      </w:r>
    </w:p>
    <w:p>
      <w:pPr>
        <w:spacing w:after="120"/>
      </w:pPr>
      <w:r>
        <w:rPr>
          <w:color w:val="4A5568"/>
          <w:sz w:val="22"/>
          <w:szCs w:val="22"/>
        </w:rPr>
        <w:t xml:space="preserve">Email: </w:t>
      </w:r>
      <w:r>
        <w:rPr>
          <w:b/>
          <w:bCs/>
          <w:color w:val="0FB5A6"/>
          <w:sz w:val="22"/>
          <w:szCs w:val="22"/>
        </w:rPr>
        <w:t xml:space="preserve">floyd@enovaite.ca</w:t>
      </w:r>
    </w:p>
    <w:p>
      <w:pPr>
        <w:spacing w:after="120"/>
      </w:pPr>
      <w:r>
        <w:rPr>
          <w:color w:val="4A5568"/>
          <w:sz w:val="22"/>
          <w:szCs w:val="22"/>
        </w:rPr>
        <w:t xml:space="preserve">Web: </w:t>
      </w:r>
      <w:r>
        <w:rPr>
          <w:b/>
          <w:bCs/>
          <w:color w:val="0FB5A6"/>
          <w:sz w:val="22"/>
          <w:szCs w:val="22"/>
        </w:rPr>
        <w:t xml:space="preserve">eNovAIte.ca</w:t>
      </w:r>
    </w:p>
    <w:p>
      <w:pPr>
        <w:pBdr>
          <w:bottom w:val="single" w:color="0FB5A6" w:sz="12" w:space="4"/>
        </w:pBdr>
        <w:spacing w:after="200"/>
      </w:pPr>
    </w:p>
    <w:p>
      <w:pPr>
        <w:jc w:val="center"/>
      </w:pPr>
      <w:r>
        <w:rPr>
          <w:i/>
          <w:iCs/>
          <w:color w:val="4A5568"/>
          <w:sz w:val="18"/>
          <w:szCs w:val="18"/>
        </w:rPr>
        <w:t xml:space="preserve">Floyd James  ·  eNovAIte.ca  ·  Fractional CTO for Canadian Financial Services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4A5568"/>
        <w:sz w:val="18"/>
        <w:szCs w:val="18"/>
      </w:rPr>
      <w:t xml:space="preserve">Floyd James  ·  eNovAIte.ca  ·  Page </w:t>
    </w:r>
    <w:r>
      <w:rPr>
        <w:color w:val="4A5568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4A5568"/>
        <w:sz w:val="18"/>
        <w:szCs w:val="18"/>
      </w:rPr>
      <w:t xml:space="preserve">eNovAIte.ca  |  Regulatory Exposure Check — Self-Assessment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Regulatory Exposure Check — Self-Assessment Worksheet</dc:title>
  <dc:creator>Floyd James / eNovAIte.ca</dc:creator>
  <cp:lastModifiedBy>Un-named</cp:lastModifiedBy>
  <cp:revision>1</cp:revision>
  <dcterms:created xsi:type="dcterms:W3CDTF">2026-07-09T19:55:08.039Z</dcterms:created>
  <dcterms:modified xsi:type="dcterms:W3CDTF">2026-07-09T19:55:08.051Z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