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14EBE" w14:textId="77777777" w:rsidR="007C0C23" w:rsidRPr="007C0C23" w:rsidRDefault="007C0C23" w:rsidP="007C0C23">
      <w:pPr>
        <w:pBdr>
          <w:bottom w:val="single" w:sz="12" w:space="4" w:color="1B7A78"/>
        </w:pBdr>
        <w:spacing w:before="400" w:after="120" w:line="240" w:lineRule="auto"/>
        <w:rPr>
          <w:rFonts w:ascii="Verdana" w:eastAsia="Times New Roman" w:hAnsi="Verdana" w:cs="Times New Roman"/>
          <w:kern w:val="0"/>
          <w14:ligatures w14:val="none"/>
        </w:rPr>
      </w:pPr>
      <w:r w:rsidRPr="007C0C23">
        <w:rPr>
          <w:rFonts w:ascii="Verdana" w:eastAsia="Times New Roman" w:hAnsi="Verdana" w:cs="Calibri"/>
          <w:b/>
          <w:bCs/>
          <w:color w:val="1B7A78"/>
          <w:kern w:val="0"/>
          <w:sz w:val="30"/>
          <w:szCs w:val="30"/>
          <w14:ligatures w14:val="none"/>
        </w:rPr>
        <w:t>Scams &amp; Fraud Targeting Seniors</w:t>
      </w:r>
    </w:p>
    <w:p w14:paraId="7C76B7D8" w14:textId="4A67A9BB" w:rsidR="007C0C23" w:rsidRPr="007C0C23" w:rsidRDefault="007C0C23" w:rsidP="007C0C23">
      <w:pPr>
        <w:spacing w:line="240" w:lineRule="auto"/>
        <w:rPr>
          <w:rFonts w:ascii="Verdana" w:eastAsia="Times New Roman" w:hAnsi="Verdana" w:cs="Times New Roman"/>
          <w:kern w:val="0"/>
          <w14:ligatures w14:val="none"/>
        </w:rPr>
      </w:pPr>
      <w:r w:rsidRPr="007C0C23">
        <w:rPr>
          <w:rFonts w:ascii="Verdana" w:eastAsia="Times New Roman" w:hAnsi="Verdana" w:cs="Calibri"/>
          <w:color w:val="2B2B2B"/>
          <w:kern w:val="0"/>
          <w14:ligatures w14:val="none"/>
        </w:rPr>
        <w:t>Elder financial fraud remains one of the fastest-growing threats to retirees. The FTC reported that Americans over 60 lost a record $2.4 billion to scams in 2024</w:t>
      </w:r>
      <w:r>
        <w:rPr>
          <w:rFonts w:ascii="Verdana" w:eastAsia="Times New Roman" w:hAnsi="Verdana" w:cs="Calibri"/>
          <w:color w:val="2B2B2B"/>
          <w:kern w:val="0"/>
          <w14:ligatures w14:val="none"/>
        </w:rPr>
        <w:t xml:space="preserve">, </w:t>
      </w:r>
      <w:r w:rsidRPr="007C0C23">
        <w:rPr>
          <w:rFonts w:ascii="Verdana" w:eastAsia="Times New Roman" w:hAnsi="Verdana" w:cs="Calibri"/>
          <w:color w:val="2B2B2B"/>
          <w:kern w:val="0"/>
          <w14:ligatures w14:val="none"/>
        </w:rPr>
        <w:t>a fourfold increase since 2020. Separately, the Department of Justice identified more than one million victims of elder financial exploitation, fraud, neglect, and abuse between July 2024 and June 2025, with offenders stealing or attempting to steal $2.3 billion.</w:t>
      </w:r>
    </w:p>
    <w:p w14:paraId="7177DE2A" w14:textId="5552B8EE" w:rsidR="007C0C23" w:rsidRPr="007C0C23" w:rsidRDefault="007C0C23" w:rsidP="007C0C23">
      <w:pPr>
        <w:spacing w:line="240" w:lineRule="auto"/>
        <w:rPr>
          <w:rFonts w:ascii="Verdana" w:eastAsia="Times New Roman" w:hAnsi="Verdana" w:cs="Times New Roman"/>
          <w:kern w:val="0"/>
          <w14:ligatures w14:val="none"/>
        </w:rPr>
      </w:pPr>
      <w:r w:rsidRPr="007C0C23">
        <w:rPr>
          <w:rFonts w:ascii="Verdana" w:eastAsia="Times New Roman" w:hAnsi="Verdana" w:cs="Calibri"/>
          <w:color w:val="2B2B2B"/>
          <w:kern w:val="0"/>
          <w14:ligatures w14:val="none"/>
        </w:rPr>
        <w:t>The most common schemes involve impersonation of government agencies (IRS, Medicare, the FTC), tech-support fraud, romance scams, and increasingly, digital-asset and cryptocurrency schemes. Tech-support scams alone cost older Americans $159 million in 2024, while a newer and especially dangerous tactic</w:t>
      </w:r>
      <w:r>
        <w:rPr>
          <w:rFonts w:ascii="Verdana" w:eastAsia="Times New Roman" w:hAnsi="Verdana" w:cs="Calibri"/>
          <w:color w:val="2B2B2B"/>
          <w:kern w:val="0"/>
          <w14:ligatures w14:val="none"/>
        </w:rPr>
        <w:t xml:space="preserve">, </w:t>
      </w:r>
      <w:r w:rsidRPr="007C0C23">
        <w:rPr>
          <w:rFonts w:ascii="Verdana" w:eastAsia="Times New Roman" w:hAnsi="Verdana" w:cs="Calibri"/>
          <w:color w:val="2B2B2B"/>
          <w:kern w:val="0"/>
          <w14:ligatures w14:val="none"/>
        </w:rPr>
        <w:t>directing victims to deposit cash into crypto ATMs, or “crypto kiosks,” for instant, irreversible transfer</w:t>
      </w:r>
      <w:r>
        <w:rPr>
          <w:rFonts w:ascii="Verdana" w:eastAsia="Times New Roman" w:hAnsi="Verdana" w:cs="Calibri"/>
          <w:color w:val="2B2B2B"/>
          <w:kern w:val="0"/>
          <w14:ligatures w14:val="none"/>
        </w:rPr>
        <w:t xml:space="preserve">, </w:t>
      </w:r>
      <w:r w:rsidRPr="007C0C23">
        <w:rPr>
          <w:rFonts w:ascii="Verdana" w:eastAsia="Times New Roman" w:hAnsi="Verdana" w:cs="Calibri"/>
          <w:color w:val="2B2B2B"/>
          <w:kern w:val="0"/>
          <w14:ligatures w14:val="none"/>
        </w:rPr>
        <w:t>drove $333 million in losses in 2025.</w:t>
      </w:r>
    </w:p>
    <w:p w14:paraId="1E92E579" w14:textId="1C51574A" w:rsidR="007C0C23" w:rsidRPr="007C0C23" w:rsidRDefault="007C0C23" w:rsidP="007C0C23">
      <w:pPr>
        <w:spacing w:line="240" w:lineRule="auto"/>
        <w:rPr>
          <w:rFonts w:ascii="Verdana" w:eastAsia="Times New Roman" w:hAnsi="Verdana" w:cs="Times New Roman"/>
          <w:kern w:val="0"/>
          <w14:ligatures w14:val="none"/>
        </w:rPr>
      </w:pPr>
      <w:r w:rsidRPr="007C0C23">
        <w:rPr>
          <w:rFonts w:ascii="Verdana" w:eastAsia="Times New Roman" w:hAnsi="Verdana" w:cs="Calibri"/>
          <w:color w:val="2B2B2B"/>
          <w:kern w:val="0"/>
          <w14:ligatures w14:val="none"/>
        </w:rPr>
        <w:t>On the policy side, a bipartisan bill moving through Congress would let financial institutions temporarily pause suspicious transaction requests while they investigate potential fraud</w:t>
      </w:r>
      <w:r>
        <w:rPr>
          <w:rFonts w:ascii="Verdana" w:eastAsia="Times New Roman" w:hAnsi="Verdana" w:cs="Calibri"/>
          <w:color w:val="2B2B2B"/>
          <w:kern w:val="0"/>
          <w14:ligatures w14:val="none"/>
        </w:rPr>
        <w:t xml:space="preserve">, </w:t>
      </w:r>
      <w:r w:rsidRPr="007C0C23">
        <w:rPr>
          <w:rFonts w:ascii="Verdana" w:eastAsia="Times New Roman" w:hAnsi="Verdana" w:cs="Calibri"/>
          <w:color w:val="2B2B2B"/>
          <w:kern w:val="0"/>
          <w14:ligatures w14:val="none"/>
        </w:rPr>
        <w:t>a “brakes” mechanism advocates say could prevent many losses before money leaves the account.</w:t>
      </w:r>
    </w:p>
    <w:p w14:paraId="047A224F" w14:textId="77777777" w:rsidR="007C0C23" w:rsidRPr="007C0C23" w:rsidRDefault="007C0C23" w:rsidP="007C0C23">
      <w:pPr>
        <w:numPr>
          <w:ilvl w:val="0"/>
          <w:numId w:val="1"/>
        </w:numPr>
        <w:spacing w:after="80" w:line="240" w:lineRule="auto"/>
        <w:ind w:left="550"/>
        <w:textAlignment w:val="baseline"/>
        <w:rPr>
          <w:rFonts w:ascii="Verdana" w:eastAsia="Times New Roman" w:hAnsi="Verdana" w:cs="Times New Roman"/>
          <w:color w:val="000000"/>
          <w:kern w:val="0"/>
          <w14:ligatures w14:val="none"/>
        </w:rPr>
      </w:pPr>
      <w:r w:rsidRPr="007C0C23">
        <w:rPr>
          <w:rFonts w:ascii="Verdana" w:eastAsia="Times New Roman" w:hAnsi="Verdana" w:cs="Calibri"/>
          <w:color w:val="2B2B2B"/>
          <w:kern w:val="0"/>
          <w14:ligatures w14:val="none"/>
        </w:rPr>
        <w:t>Seniors lost a record $2.4 billion to scams in 2024, the FTC reports.</w:t>
      </w:r>
    </w:p>
    <w:p w14:paraId="5C82F1E3" w14:textId="77777777" w:rsidR="007C0C23" w:rsidRPr="007C0C23" w:rsidRDefault="007C0C23" w:rsidP="007C0C23">
      <w:pPr>
        <w:numPr>
          <w:ilvl w:val="0"/>
          <w:numId w:val="1"/>
        </w:numPr>
        <w:spacing w:after="80" w:line="240" w:lineRule="auto"/>
        <w:ind w:left="550"/>
        <w:textAlignment w:val="baseline"/>
        <w:rPr>
          <w:rFonts w:ascii="Verdana" w:eastAsia="Times New Roman" w:hAnsi="Verdana" w:cs="Times New Roman"/>
          <w:color w:val="000000"/>
          <w:kern w:val="0"/>
          <w14:ligatures w14:val="none"/>
        </w:rPr>
      </w:pPr>
      <w:r w:rsidRPr="007C0C23">
        <w:rPr>
          <w:rFonts w:ascii="Verdana" w:eastAsia="Times New Roman" w:hAnsi="Verdana" w:cs="Calibri"/>
          <w:color w:val="2B2B2B"/>
          <w:kern w:val="0"/>
          <w14:ligatures w14:val="none"/>
        </w:rPr>
        <w:t>1M+ elder exploitation victims identified nationwide (July 2024–June 2025), per DOJ.</w:t>
      </w:r>
    </w:p>
    <w:p w14:paraId="26866C5B" w14:textId="33688A58" w:rsidR="007C0C23" w:rsidRPr="007C0C23" w:rsidRDefault="007C0C23" w:rsidP="007C0C23">
      <w:pPr>
        <w:numPr>
          <w:ilvl w:val="0"/>
          <w:numId w:val="1"/>
        </w:numPr>
        <w:spacing w:after="80" w:line="240" w:lineRule="auto"/>
        <w:ind w:left="550"/>
        <w:textAlignment w:val="baseline"/>
        <w:rPr>
          <w:rFonts w:ascii="Verdana" w:eastAsia="Times New Roman" w:hAnsi="Verdana" w:cs="Times New Roman"/>
          <w:color w:val="000000"/>
          <w:kern w:val="0"/>
          <w14:ligatures w14:val="none"/>
        </w:rPr>
      </w:pPr>
      <w:r w:rsidRPr="007C0C23">
        <w:rPr>
          <w:rFonts w:ascii="Verdana" w:eastAsia="Times New Roman" w:hAnsi="Verdana" w:cs="Calibri"/>
          <w:color w:val="2B2B2B"/>
          <w:kern w:val="0"/>
          <w14:ligatures w14:val="none"/>
        </w:rPr>
        <w:t>Crypto kiosk (Bitcoin ATM) scams caused $333 million in losses in 2025</w:t>
      </w:r>
      <w:r>
        <w:rPr>
          <w:rFonts w:ascii="Verdana" w:eastAsia="Times New Roman" w:hAnsi="Verdana" w:cs="Calibri"/>
          <w:color w:val="2B2B2B"/>
          <w:kern w:val="0"/>
          <w14:ligatures w14:val="none"/>
        </w:rPr>
        <w:t xml:space="preserve">, </w:t>
      </w:r>
      <w:r w:rsidRPr="007C0C23">
        <w:rPr>
          <w:rFonts w:ascii="Verdana" w:eastAsia="Times New Roman" w:hAnsi="Verdana" w:cs="Calibri"/>
          <w:color w:val="2B2B2B"/>
          <w:kern w:val="0"/>
          <w14:ligatures w14:val="none"/>
        </w:rPr>
        <w:t>funds are unrecoverable once deposited.</w:t>
      </w:r>
    </w:p>
    <w:p w14:paraId="0DF79F33" w14:textId="77777777" w:rsidR="007C0C23" w:rsidRPr="007C0C23" w:rsidRDefault="007C0C23" w:rsidP="007C0C23">
      <w:pPr>
        <w:numPr>
          <w:ilvl w:val="0"/>
          <w:numId w:val="1"/>
        </w:numPr>
        <w:spacing w:after="80" w:line="240" w:lineRule="auto"/>
        <w:ind w:left="550"/>
        <w:textAlignment w:val="baseline"/>
        <w:rPr>
          <w:rFonts w:ascii="Verdana" w:eastAsia="Times New Roman" w:hAnsi="Verdana" w:cs="Times New Roman"/>
          <w:color w:val="000000"/>
          <w:kern w:val="0"/>
          <w14:ligatures w14:val="none"/>
        </w:rPr>
      </w:pPr>
      <w:r w:rsidRPr="007C0C23">
        <w:rPr>
          <w:rFonts w:ascii="Verdana" w:eastAsia="Times New Roman" w:hAnsi="Verdana" w:cs="Calibri"/>
          <w:color w:val="2B2B2B"/>
          <w:kern w:val="0"/>
          <w14:ligatures w14:val="none"/>
        </w:rPr>
        <w:t>New bipartisan legislation would let banks pause suspicious transactions for review.</w:t>
      </w:r>
    </w:p>
    <w:p w14:paraId="6FA32D95" w14:textId="77777777" w:rsidR="007C0C23" w:rsidRPr="007C0C23" w:rsidRDefault="007C0C23" w:rsidP="007C0C23">
      <w:pPr>
        <w:spacing w:after="0" w:line="240" w:lineRule="auto"/>
        <w:rPr>
          <w:rFonts w:ascii="Verdana" w:eastAsia="Times New Roman" w:hAnsi="Verdana"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4"/>
      </w:tblGrid>
      <w:tr w:rsidR="007C0C23" w:rsidRPr="007C0C23" w14:paraId="713BFCA5" w14:textId="77777777">
        <w:tc>
          <w:tcPr>
            <w:tcW w:w="0" w:type="auto"/>
            <w:tcBorders>
              <w:top w:val="single" w:sz="6" w:space="0" w:color="1B7A78"/>
              <w:left w:val="single" w:sz="6" w:space="0" w:color="1B7A78"/>
              <w:bottom w:val="single" w:sz="6" w:space="0" w:color="1B7A78"/>
              <w:right w:val="single" w:sz="6" w:space="0" w:color="1B7A78"/>
            </w:tcBorders>
            <w:shd w:val="clear" w:color="auto" w:fill="E4F2F1"/>
            <w:tcMar>
              <w:top w:w="160" w:type="dxa"/>
              <w:left w:w="200" w:type="dxa"/>
              <w:bottom w:w="160" w:type="dxa"/>
              <w:right w:w="200" w:type="dxa"/>
            </w:tcMar>
            <w:hideMark/>
          </w:tcPr>
          <w:p w14:paraId="6218A6F6" w14:textId="77777777" w:rsidR="007C0C23" w:rsidRPr="007C0C23" w:rsidRDefault="007C0C23" w:rsidP="007C0C23">
            <w:pPr>
              <w:spacing w:after="60" w:line="240" w:lineRule="auto"/>
              <w:rPr>
                <w:rFonts w:ascii="Verdana" w:eastAsia="Times New Roman" w:hAnsi="Verdana" w:cs="Times New Roman"/>
                <w:kern w:val="0"/>
                <w14:ligatures w14:val="none"/>
              </w:rPr>
            </w:pPr>
            <w:r w:rsidRPr="007C0C23">
              <w:rPr>
                <w:rFonts w:ascii="Verdana" w:eastAsia="Times New Roman" w:hAnsi="Verdana" w:cs="Calibri"/>
                <w:b/>
                <w:bCs/>
                <w:color w:val="1B7A78"/>
                <w:kern w:val="0"/>
                <w:sz w:val="22"/>
                <w:szCs w:val="22"/>
                <w14:ligatures w14:val="none"/>
              </w:rPr>
              <w:t>Action Item:</w:t>
            </w:r>
          </w:p>
          <w:p w14:paraId="66CA12B1" w14:textId="37DDABB9" w:rsidR="007C0C23" w:rsidRPr="007C0C23" w:rsidRDefault="007C0C23" w:rsidP="007C0C23">
            <w:pPr>
              <w:spacing w:after="0" w:line="240" w:lineRule="auto"/>
              <w:rPr>
                <w:rFonts w:ascii="Verdana" w:eastAsia="Times New Roman" w:hAnsi="Verdana" w:cs="Times New Roman"/>
                <w:kern w:val="0"/>
                <w14:ligatures w14:val="none"/>
              </w:rPr>
            </w:pPr>
            <w:r w:rsidRPr="007C0C23">
              <w:rPr>
                <w:rFonts w:ascii="Verdana" w:eastAsia="Times New Roman" w:hAnsi="Verdana" w:cs="Calibri"/>
                <w:color w:val="2B2B2B"/>
                <w:kern w:val="0"/>
                <w14:ligatures w14:val="none"/>
              </w:rPr>
              <w:t>Never send money via a cryptocurrency ATM or wire transfer to someone who contacted you first</w:t>
            </w:r>
            <w:r>
              <w:rPr>
                <w:rFonts w:ascii="Verdana" w:eastAsia="Times New Roman" w:hAnsi="Verdana" w:cs="Calibri"/>
                <w:color w:val="2B2B2B"/>
                <w:kern w:val="0"/>
                <w14:ligatures w14:val="none"/>
              </w:rPr>
              <w:t xml:space="preserve">, </w:t>
            </w:r>
            <w:r w:rsidRPr="007C0C23">
              <w:rPr>
                <w:rFonts w:ascii="Verdana" w:eastAsia="Times New Roman" w:hAnsi="Verdana" w:cs="Calibri"/>
                <w:color w:val="2B2B2B"/>
                <w:kern w:val="0"/>
                <w14:ligatures w14:val="none"/>
              </w:rPr>
              <w:t>especially anyone claiming to be from the IRS, Medicare, or tech support. Hang up and call the agency or company back using a number you look up independently.</w:t>
            </w:r>
          </w:p>
        </w:tc>
      </w:tr>
    </w:tbl>
    <w:p w14:paraId="2A17113F" w14:textId="77777777" w:rsidR="007C0C23" w:rsidRPr="007C0C23" w:rsidRDefault="007C0C23">
      <w:pPr>
        <w:rPr>
          <w:rFonts w:ascii="Verdana" w:hAnsi="Verdana"/>
        </w:rPr>
      </w:pPr>
    </w:p>
    <w:sectPr w:rsidR="007C0C23" w:rsidRPr="007C0C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A41AC"/>
    <w:multiLevelType w:val="multilevel"/>
    <w:tmpl w:val="3B9E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78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C23"/>
    <w:rsid w:val="001B7BB1"/>
    <w:rsid w:val="007C0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7766C"/>
  <w15:chartTrackingRefBased/>
  <w15:docId w15:val="{95015A1B-C87E-4FFB-A290-C610D843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C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C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C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C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C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C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C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C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C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C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C23"/>
    <w:rPr>
      <w:rFonts w:eastAsiaTheme="majorEastAsia" w:cstheme="majorBidi"/>
      <w:color w:val="272727" w:themeColor="text1" w:themeTint="D8"/>
    </w:rPr>
  </w:style>
  <w:style w:type="paragraph" w:styleId="Title">
    <w:name w:val="Title"/>
    <w:basedOn w:val="Normal"/>
    <w:next w:val="Normal"/>
    <w:link w:val="TitleChar"/>
    <w:uiPriority w:val="10"/>
    <w:qFormat/>
    <w:rsid w:val="007C0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C23"/>
    <w:pPr>
      <w:spacing w:before="160"/>
      <w:jc w:val="center"/>
    </w:pPr>
    <w:rPr>
      <w:i/>
      <w:iCs/>
      <w:color w:val="404040" w:themeColor="text1" w:themeTint="BF"/>
    </w:rPr>
  </w:style>
  <w:style w:type="character" w:customStyle="1" w:styleId="QuoteChar">
    <w:name w:val="Quote Char"/>
    <w:basedOn w:val="DefaultParagraphFont"/>
    <w:link w:val="Quote"/>
    <w:uiPriority w:val="29"/>
    <w:rsid w:val="007C0C23"/>
    <w:rPr>
      <w:i/>
      <w:iCs/>
      <w:color w:val="404040" w:themeColor="text1" w:themeTint="BF"/>
    </w:rPr>
  </w:style>
  <w:style w:type="paragraph" w:styleId="ListParagraph">
    <w:name w:val="List Paragraph"/>
    <w:basedOn w:val="Normal"/>
    <w:uiPriority w:val="34"/>
    <w:qFormat/>
    <w:rsid w:val="007C0C23"/>
    <w:pPr>
      <w:ind w:left="720"/>
      <w:contextualSpacing/>
    </w:pPr>
  </w:style>
  <w:style w:type="character" w:styleId="IntenseEmphasis">
    <w:name w:val="Intense Emphasis"/>
    <w:basedOn w:val="DefaultParagraphFont"/>
    <w:uiPriority w:val="21"/>
    <w:qFormat/>
    <w:rsid w:val="007C0C23"/>
    <w:rPr>
      <w:i/>
      <w:iCs/>
      <w:color w:val="0F4761" w:themeColor="accent1" w:themeShade="BF"/>
    </w:rPr>
  </w:style>
  <w:style w:type="paragraph" w:styleId="IntenseQuote">
    <w:name w:val="Intense Quote"/>
    <w:basedOn w:val="Normal"/>
    <w:next w:val="Normal"/>
    <w:link w:val="IntenseQuoteChar"/>
    <w:uiPriority w:val="30"/>
    <w:qFormat/>
    <w:rsid w:val="007C0C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C23"/>
    <w:rPr>
      <w:i/>
      <w:iCs/>
      <w:color w:val="0F4761" w:themeColor="accent1" w:themeShade="BF"/>
    </w:rPr>
  </w:style>
  <w:style w:type="character" w:styleId="IntenseReference">
    <w:name w:val="Intense Reference"/>
    <w:basedOn w:val="DefaultParagraphFont"/>
    <w:uiPriority w:val="32"/>
    <w:qFormat/>
    <w:rsid w:val="007C0C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1542</Characters>
  <Application>Microsoft Office Word</Application>
  <DocSecurity>0</DocSecurity>
  <Lines>31</Lines>
  <Paragraphs>11</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Bergfeld</dc:creator>
  <cp:keywords/>
  <dc:description/>
  <cp:lastModifiedBy>Bill Bergfeld</cp:lastModifiedBy>
  <cp:revision>1</cp:revision>
  <dcterms:created xsi:type="dcterms:W3CDTF">2026-07-14T17:04:00Z</dcterms:created>
  <dcterms:modified xsi:type="dcterms:W3CDTF">2026-07-14T17:07:00Z</dcterms:modified>
</cp:coreProperties>
</file>