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0" w:before="0"/>
      </w:pPr>
      <w:r>
        <w:rPr>
          <w:b w:val="0"/>
          <w:i w:val="0"/>
          <w:sz w:val="21"/>
        </w:rPr>
      </w:r>
    </w:p>
    <w:p>
      <w:pPr>
        <w:spacing w:after="80" w:before="0"/>
      </w:pPr>
      <w:r>
        <w:rPr>
          <w:b/>
          <w:i w:val="0"/>
          <w:color w:val="1F2A44"/>
          <w:sz w:val="48"/>
        </w:rPr>
        <w:t>Charles Street Mansion Reunification</w:t>
      </w:r>
    </w:p>
    <w:p>
      <w:pPr>
        <w:spacing w:after="560" w:before="0"/>
      </w:pPr>
      <w:r>
        <w:rPr>
          <w:b w:val="0"/>
          <w:i w:val="0"/>
          <w:color w:val="595959"/>
          <w:sz w:val="24"/>
        </w:rPr>
        <w:t>1816 · 1818 · 1820 N. Charles Street, Baltimore, Maryland 21201</w:t>
      </w:r>
    </w:p>
    <w:p>
      <w:pPr>
        <w:spacing w:after="80" w:before="0"/>
      </w:pPr>
      <w:r>
        <w:rPr>
          <w:b/>
          <w:i w:val="0"/>
          <w:sz w:val="34"/>
        </w:rPr>
        <w:t>Sources &amp; Uses, Funding Gap and Strategy</w:t>
      </w:r>
    </w:p>
    <w:p>
      <w:pPr>
        <w:spacing w:after="800" w:before="0"/>
      </w:pPr>
      <w:r>
        <w:rPr>
          <w:b w:val="0"/>
          <w:i w:val="0"/>
          <w:color w:val="595959"/>
          <w:sz w:val="23"/>
        </w:rPr>
        <w:t>Development budget, capital stack, NIIF underwriting and assumptions</w:t>
      </w:r>
    </w:p>
    <w:p>
      <w:pPr>
        <w:spacing w:after="40" w:before="0"/>
      </w:pPr>
      <w:r>
        <w:rPr>
          <w:b/>
          <w:i w:val="0"/>
          <w:color w:val="595959"/>
          <w:sz w:val="19"/>
        </w:rPr>
        <w:t>Prepared for</w:t>
      </w:r>
    </w:p>
    <w:p>
      <w:pPr>
        <w:spacing w:after="320" w:before="0"/>
      </w:pPr>
      <w:r>
        <w:rPr>
          <w:b w:val="0"/>
          <w:i w:val="0"/>
          <w:sz w:val="22"/>
        </w:rPr>
        <w:t>Baltimore Development Corporation and the Neighborhood Impact Investment Fund</w:t>
      </w:r>
    </w:p>
    <w:p>
      <w:pPr>
        <w:spacing w:after="40" w:before="0"/>
      </w:pPr>
      <w:r>
        <w:rPr>
          <w:b/>
          <w:i w:val="0"/>
          <w:color w:val="595959"/>
          <w:sz w:val="19"/>
        </w:rPr>
        <w:t>Prepared by</w:t>
      </w:r>
    </w:p>
    <w:p>
      <w:pPr>
        <w:spacing w:after="0" w:before="0"/>
      </w:pPr>
      <w:r>
        <w:rPr>
          <w:b w:val="0"/>
          <w:i w:val="0"/>
          <w:sz w:val="22"/>
        </w:rPr>
        <w:t>Live Life As You Dream (LLAYD) LLC</w:t>
      </w:r>
    </w:p>
    <w:p>
      <w:pPr>
        <w:spacing w:after="320" w:before="0"/>
      </w:pPr>
      <w:r>
        <w:rPr>
          <w:b w:val="0"/>
          <w:i w:val="0"/>
          <w:sz w:val="22"/>
        </w:rPr>
        <w:t>Tyjuan Amor LLC (MHIC-licensed general contractor)</w:t>
      </w:r>
    </w:p>
    <w:p>
      <w:pPr>
        <w:spacing w:after="40" w:before="0"/>
      </w:pPr>
      <w:r>
        <w:rPr>
          <w:b/>
          <w:i w:val="0"/>
          <w:sz w:val="21"/>
        </w:rPr>
        <w:t>BDC resubmission · September 18, 2026</w:t>
      </w:r>
    </w:p>
    <w:p>
      <w:pPr>
        <w:spacing w:after="160" w:before="0"/>
      </w:pPr>
      <w:r>
        <w:rPr>
          <w:b w:val="0"/>
          <w:i/>
          <w:color w:val="595959"/>
          <w:sz w:val="19"/>
        </w:rPr>
        <w:t>Model figures as of September 17, 2026. The live model and interactive dashboard are at llayd.net/bdc.</w:t>
      </w:r>
    </w:p>
    <w:p>
      <w:r>
        <w:br w:type="page"/>
      </w:r>
    </w:p>
    <w:p>
      <w:pPr>
        <w:pStyle w:val="Heading1"/>
        <w:keepNext/>
        <w:spacing w:after="120" w:before="320"/>
      </w:pPr>
      <w:r>
        <w:rPr>
          <w:rFonts w:ascii="Arial" w:hAnsi="Arial"/>
          <w:b/>
          <w:i w:val="0"/>
          <w:color w:val="1F2A44"/>
          <w:sz w:val="30"/>
        </w:rPr>
        <w:t>1. Executive summary</w:t>
      </w:r>
    </w:p>
    <w:p>
      <w:pPr>
        <w:spacing w:after="160" w:before="0"/>
      </w:pPr>
      <w:r>
        <w:rPr>
          <w:b w:val="0"/>
          <w:i w:val="0"/>
          <w:sz w:val="21"/>
        </w:rPr>
        <w:t>LLAYD proposes to reunify the historic mansion at 1816–1820 N. Charles Street, which the City subdivided into three parcels, and restore it as 18 fully furnished apartments and 4 commercial storefronts. LLAYD owns and is building out 1816, acquired 1818 at a March 2026 trustee's sale, and asks the City to convey 1820, the last parcel needed to complete the building. One developer, one design, one mansion.</w:t>
      </w:r>
    </w:p>
    <w:p>
      <w:pPr>
        <w:spacing w:after="160" w:before="0"/>
      </w:pPr>
      <w:r>
        <w:rPr>
          <w:b w:val="0"/>
          <w:i w:val="0"/>
          <w:sz w:val="21"/>
        </w:rPr>
        <w:t>Total development cost across the three parcels is $8,237,803. Phase 1 (1816) is funded at $2,071,780. Phase 2 (1818 + 1820) costs $6,166,023 and is financed by an NIIF senior loan of $2,724,000, sponsor equity and deferred fee of $572,149, and $1,926,000 of state, federal and City programs. After all of it, $943,874 remains. That is the request to BDC.</w:t>
      </w:r>
    </w:p>
    <w:tbl>
      <w:tblPr>
        <w:tblStyle w:val="TableGrid"/>
        <w:tblW w:type="auto" w:w="0"/>
        <w:jc w:val="center"/>
        <w:tblLook w:firstColumn="1" w:firstRow="1" w:lastColumn="0" w:lastRow="0" w:noHBand="0" w:noVBand="1" w:val="04A0"/>
      </w:tblPr>
      <w:tblGrid>
        <w:gridCol w:w="3216"/>
        <w:gridCol w:w="3216"/>
        <w:gridCol w:w="3216"/>
      </w:tblGrid>
      <w:tr>
        <w:tc>
          <w:tcPr>
            <w:tcW w:type="dxa" w:w="4752"/>
            <w:shd w:val="clear" w:fill="1F2A44"/>
          </w:tcPr>
          <w:p>
            <w:r/>
            <w:r>
              <w:rPr>
                <w:rFonts w:ascii="Arial" w:hAnsi="Arial"/>
                <w:b/>
                <w:color w:val="FFFFFF"/>
                <w:sz w:val="19"/>
              </w:rPr>
              <w:t>Headline figure</w:t>
            </w:r>
          </w:p>
        </w:tc>
        <w:tc>
          <w:tcPr>
            <w:tcW w:type="dxa" w:w="2016"/>
            <w:shd w:val="clear" w:fill="1F2A44"/>
          </w:tcPr>
          <w:p>
            <w:pPr>
              <w:jc w:val="right"/>
            </w:pPr>
            <w:r/>
            <w:r>
              <w:rPr>
                <w:rFonts w:ascii="Arial" w:hAnsi="Arial"/>
                <w:b/>
                <w:color w:val="FFFFFF"/>
                <w:sz w:val="19"/>
              </w:rPr>
              <w:t>Amount</w:t>
            </w:r>
          </w:p>
        </w:tc>
        <w:tc>
          <w:tcPr>
            <w:tcW w:type="dxa" w:w="2880"/>
            <w:shd w:val="clear" w:fill="1F2A44"/>
          </w:tcPr>
          <w:p>
            <w:r/>
            <w:r>
              <w:rPr>
                <w:rFonts w:ascii="Arial" w:hAnsi="Arial"/>
                <w:b/>
                <w:color w:val="FFFFFF"/>
                <w:sz w:val="19"/>
              </w:rPr>
              <w:t>Note</w:t>
            </w:r>
          </w:p>
        </w:tc>
      </w:tr>
      <w:tr>
        <w:tc>
          <w:tcPr>
            <w:tcW w:type="dxa" w:w="4752"/>
          </w:tcPr>
          <w:p>
            <w:pPr>
              <w:spacing w:after="40" w:before="40"/>
            </w:pPr>
            <w:r/>
            <w:r>
              <w:rPr>
                <w:rFonts w:ascii="Arial" w:hAnsi="Arial"/>
                <w:b w:val="0"/>
                <w:sz w:val="19"/>
              </w:rPr>
              <w:t>Total development cost — three parcels</w:t>
            </w:r>
          </w:p>
        </w:tc>
        <w:tc>
          <w:tcPr>
            <w:tcW w:type="dxa" w:w="2016"/>
          </w:tcPr>
          <w:p>
            <w:pPr>
              <w:spacing w:after="40" w:before="40"/>
              <w:jc w:val="right"/>
            </w:pPr>
            <w:r/>
            <w:r>
              <w:rPr>
                <w:rFonts w:ascii="Arial" w:hAnsi="Arial"/>
                <w:b w:val="0"/>
                <w:sz w:val="19"/>
              </w:rPr>
              <w:t>$8,237,803</w:t>
            </w:r>
          </w:p>
        </w:tc>
        <w:tc>
          <w:tcPr>
            <w:tcW w:type="dxa" w:w="2880"/>
          </w:tcPr>
          <w:p>
            <w:pPr>
              <w:spacing w:after="40" w:before="40"/>
            </w:pPr>
            <w:r/>
            <w:r>
              <w:rPr>
                <w:rFonts w:ascii="Arial" w:hAnsi="Arial"/>
                <w:b w:val="0"/>
                <w:sz w:val="19"/>
              </w:rPr>
              <w:t>Phase 1 $2,071,780 · Phase 2 $6,166,023</w:t>
            </w:r>
          </w:p>
        </w:tc>
      </w:tr>
      <w:tr>
        <w:tc>
          <w:tcPr>
            <w:tcW w:type="dxa" w:w="4752"/>
          </w:tcPr>
          <w:p>
            <w:pPr>
              <w:spacing w:after="40" w:before="40"/>
            </w:pPr>
            <w:r/>
            <w:r>
              <w:rPr>
                <w:rFonts w:ascii="Arial" w:hAnsi="Arial"/>
                <w:b w:val="0"/>
                <w:sz w:val="19"/>
              </w:rPr>
              <w:t>NIIF senior construction-to-permanent loan</w:t>
            </w:r>
          </w:p>
        </w:tc>
        <w:tc>
          <w:tcPr>
            <w:tcW w:type="dxa" w:w="2016"/>
          </w:tcPr>
          <w:p>
            <w:pPr>
              <w:spacing w:after="40" w:before="40"/>
              <w:jc w:val="right"/>
            </w:pPr>
            <w:r/>
            <w:r>
              <w:rPr>
                <w:rFonts w:ascii="Arial" w:hAnsi="Arial"/>
                <w:b w:val="0"/>
                <w:sz w:val="19"/>
              </w:rPr>
              <w:t>$2,724,000</w:t>
            </w:r>
          </w:p>
        </w:tc>
        <w:tc>
          <w:tcPr>
            <w:tcW w:type="dxa" w:w="2880"/>
          </w:tcPr>
          <w:p>
            <w:pPr>
              <w:spacing w:after="40" w:before="40"/>
            </w:pPr>
            <w:r/>
            <w:r>
              <w:rPr>
                <w:rFonts w:ascii="Arial" w:hAnsi="Arial"/>
                <w:b w:val="0"/>
                <w:sz w:val="19"/>
              </w:rPr>
              <w:t>5.0% · LTV 80% · LTC 44%</w:t>
            </w:r>
          </w:p>
        </w:tc>
      </w:tr>
      <w:tr>
        <w:tc>
          <w:tcPr>
            <w:tcW w:type="dxa" w:w="4752"/>
          </w:tcPr>
          <w:p>
            <w:pPr>
              <w:spacing w:after="40" w:before="40"/>
            </w:pPr>
            <w:r/>
            <w:r>
              <w:rPr>
                <w:rFonts w:ascii="Arial" w:hAnsi="Arial"/>
                <w:b w:val="0"/>
                <w:sz w:val="19"/>
              </w:rPr>
              <w:t>BDC / City gap request</w:t>
            </w:r>
          </w:p>
        </w:tc>
        <w:tc>
          <w:tcPr>
            <w:tcW w:type="dxa" w:w="2016"/>
          </w:tcPr>
          <w:p>
            <w:pPr>
              <w:spacing w:after="40" w:before="40"/>
              <w:jc w:val="right"/>
            </w:pPr>
            <w:r/>
            <w:r>
              <w:rPr>
                <w:rFonts w:ascii="Arial" w:hAnsi="Arial"/>
                <w:b w:val="0"/>
                <w:sz w:val="19"/>
              </w:rPr>
              <w:t>$943,874</w:t>
            </w:r>
          </w:p>
        </w:tc>
        <w:tc>
          <w:tcPr>
            <w:tcW w:type="dxa" w:w="2880"/>
          </w:tcPr>
          <w:p>
            <w:pPr>
              <w:spacing w:after="40" w:before="40"/>
            </w:pPr>
            <w:r/>
            <w:r>
              <w:rPr>
                <w:rFonts w:ascii="Arial" w:hAnsi="Arial"/>
                <w:b w:val="0"/>
                <w:sz w:val="19"/>
              </w:rPr>
              <w:t>15.3% of Phase 2 cost</w:t>
            </w:r>
          </w:p>
        </w:tc>
      </w:tr>
      <w:tr>
        <w:tc>
          <w:tcPr>
            <w:tcW w:type="dxa" w:w="4752"/>
          </w:tcPr>
          <w:p>
            <w:pPr>
              <w:spacing w:after="40" w:before="40"/>
            </w:pPr>
            <w:r/>
            <w:r>
              <w:rPr>
                <w:rFonts w:ascii="Arial" w:hAnsi="Arial"/>
                <w:b w:val="0"/>
                <w:sz w:val="19"/>
              </w:rPr>
              <w:t>Stabilized Year 1 net operating income (2029)</w:t>
            </w:r>
          </w:p>
        </w:tc>
        <w:tc>
          <w:tcPr>
            <w:tcW w:type="dxa" w:w="2016"/>
          </w:tcPr>
          <w:p>
            <w:pPr>
              <w:spacing w:after="40" w:before="40"/>
              <w:jc w:val="right"/>
            </w:pPr>
            <w:r/>
            <w:r>
              <w:rPr>
                <w:rFonts w:ascii="Arial" w:hAnsi="Arial"/>
                <w:b w:val="0"/>
                <w:sz w:val="19"/>
              </w:rPr>
              <w:t>$376,502</w:t>
            </w:r>
          </w:p>
        </w:tc>
        <w:tc>
          <w:tcPr>
            <w:tcW w:type="dxa" w:w="2880"/>
          </w:tcPr>
          <w:p>
            <w:pPr>
              <w:spacing w:after="40" w:before="40"/>
            </w:pPr>
            <w:r/>
            <w:r>
              <w:rPr>
                <w:rFonts w:ascii="Arial" w:hAnsi="Arial"/>
                <w:b w:val="0"/>
                <w:sz w:val="19"/>
              </w:rPr>
              <w:t>All three parcels, after the CHAP credit</w:t>
            </w:r>
          </w:p>
        </w:tc>
      </w:tr>
      <w:tr>
        <w:tc>
          <w:tcPr>
            <w:tcW w:type="dxa" w:w="4752"/>
          </w:tcPr>
          <w:p>
            <w:pPr>
              <w:spacing w:after="40" w:before="40"/>
            </w:pPr>
            <w:r/>
            <w:r>
              <w:rPr>
                <w:rFonts w:ascii="Arial" w:hAnsi="Arial"/>
                <w:b w:val="0"/>
                <w:sz w:val="19"/>
              </w:rPr>
              <w:t>Consolidated DSCR, Year 1</w:t>
            </w:r>
          </w:p>
        </w:tc>
        <w:tc>
          <w:tcPr>
            <w:tcW w:type="dxa" w:w="2016"/>
          </w:tcPr>
          <w:p>
            <w:pPr>
              <w:spacing w:after="40" w:before="40"/>
              <w:jc w:val="right"/>
            </w:pPr>
            <w:r/>
            <w:r>
              <w:rPr>
                <w:rFonts w:ascii="Arial" w:hAnsi="Arial"/>
                <w:b w:val="0"/>
                <w:sz w:val="19"/>
              </w:rPr>
              <w:t>1.45x</w:t>
            </w:r>
          </w:p>
        </w:tc>
        <w:tc>
          <w:tcPr>
            <w:tcW w:type="dxa" w:w="2880"/>
          </w:tcPr>
          <w:p>
            <w:pPr>
              <w:spacing w:after="40" w:before="40"/>
            </w:pPr>
            <w:r/>
            <w:r>
              <w:rPr>
                <w:rFonts w:ascii="Arial" w:hAnsi="Arial"/>
                <w:b w:val="0"/>
                <w:sz w:val="19"/>
              </w:rPr>
              <w:t>NIIF parcels 1.34x · at market rents 1.27x</w:t>
            </w:r>
          </w:p>
        </w:tc>
      </w:tr>
      <w:tr>
        <w:tc>
          <w:tcPr>
            <w:tcW w:type="dxa" w:w="4752"/>
          </w:tcPr>
          <w:p>
            <w:pPr>
              <w:spacing w:after="40" w:before="40"/>
            </w:pPr>
            <w:r/>
            <w:r>
              <w:rPr>
                <w:rFonts w:ascii="Arial" w:hAnsi="Arial"/>
                <w:b w:val="0"/>
                <w:sz w:val="19"/>
              </w:rPr>
              <w:t>Unlevered project IRR</w:t>
            </w:r>
          </w:p>
        </w:tc>
        <w:tc>
          <w:tcPr>
            <w:tcW w:type="dxa" w:w="2016"/>
          </w:tcPr>
          <w:p>
            <w:pPr>
              <w:spacing w:after="40" w:before="40"/>
              <w:jc w:val="right"/>
            </w:pPr>
            <w:r/>
            <w:r>
              <w:rPr>
                <w:rFonts w:ascii="Arial" w:hAnsi="Arial"/>
                <w:b w:val="0"/>
                <w:sz w:val="19"/>
              </w:rPr>
              <w:t>0.6%</w:t>
            </w:r>
          </w:p>
        </w:tc>
        <w:tc>
          <w:tcPr>
            <w:tcW w:type="dxa" w:w="2880"/>
          </w:tcPr>
          <w:p>
            <w:pPr>
              <w:spacing w:after="40" w:before="40"/>
            </w:pPr>
            <w:r/>
            <w:r>
              <w:rPr>
                <w:rFonts w:ascii="Arial" w:hAnsi="Arial"/>
                <w:b w:val="0"/>
                <w:sz w:val="19"/>
              </w:rPr>
              <w:t>Why the gap exists: the project cannot carry conventional capital</w:t>
            </w:r>
          </w:p>
        </w:tc>
      </w:tr>
    </w:tbl>
    <w:p>
      <w:pPr>
        <w:spacing w:after="120" w:before="0"/>
      </w:pPr>
      <w:r>
        <w:rPr>
          <w:b w:val="0"/>
          <w:i w:val="0"/>
          <w:sz w:val="8"/>
        </w:rPr>
      </w:r>
    </w:p>
    <w:p>
      <w:pPr>
        <w:pStyle w:val="Heading2"/>
        <w:keepNext/>
        <w:spacing w:after="80" w:before="240"/>
      </w:pPr>
      <w:r>
        <w:rPr>
          <w:rFonts w:ascii="Arial" w:hAnsi="Arial"/>
          <w:b/>
          <w:i w:val="0"/>
          <w:color w:val="1F2A44"/>
          <w:sz w:val="23"/>
        </w:rPr>
        <w:t>What the public investment buys</w:t>
      </w:r>
    </w:p>
    <w:p>
      <w:pPr>
        <w:pStyle w:val="ListBullet"/>
        <w:spacing w:after="60"/>
      </w:pPr>
      <w:r>
        <w:rPr>
          <w:rFonts w:ascii="Arial" w:hAnsi="Arial"/>
          <w:sz w:val="21"/>
        </w:rPr>
        <w:t>18 apartments and 4 storefronts in a restored contributing building in the North Central National Register Historic District.</w:t>
      </w:r>
    </w:p>
    <w:p>
      <w:pPr>
        <w:pStyle w:val="ListBullet"/>
        <w:spacing w:after="60"/>
      </w:pPr>
      <w:r>
        <w:rPr>
          <w:rFonts w:ascii="Arial" w:hAnsi="Arial"/>
          <w:sz w:val="21"/>
        </w:rPr>
        <w:t>A vacant, City-owned parcel returned to the tax rolls: property tax rises from about $15,165 today to $87,320 a year at stabilization.</w:t>
      </w:r>
    </w:p>
    <w:p>
      <w:pPr>
        <w:pStyle w:val="ListBullet"/>
        <w:spacing w:after="60"/>
      </w:pPr>
      <w:r>
        <w:rPr>
          <w:rFonts w:ascii="Arial" w:hAnsi="Arial"/>
          <w:sz w:val="21"/>
        </w:rPr>
        <w:t>≈$2.01M of construction payroll (≈36 job-years), 17–27 permanent jobs, MBE 27% / WBE 10% goals, and an MBE-certified, Baltimore-based developer and general contractor.</w:t>
      </w:r>
    </w:p>
    <w:p>
      <w:pPr>
        <w:pStyle w:val="ListBullet"/>
        <w:spacing w:after="60"/>
      </w:pPr>
      <w:r>
        <w:rPr>
          <w:rFonts w:ascii="Arial" w:hAnsi="Arial"/>
          <w:sz w:val="21"/>
        </w:rPr>
        <w:t>Storefronts prioritized for Baltimore-based minority- and women-owned businesses through LLAYD's BRNI-backed Small Business Hub.</w:t>
      </w:r>
    </w:p>
    <w:p>
      <w:pPr>
        <w:pStyle w:val="Heading1"/>
        <w:keepNext/>
        <w:spacing w:after="120" w:before="320"/>
      </w:pPr>
      <w:r>
        <w:rPr>
          <w:rFonts w:ascii="Arial" w:hAnsi="Arial"/>
          <w:b/>
          <w:i w:val="0"/>
          <w:color w:val="1F2A44"/>
          <w:sz w:val="30"/>
        </w:rPr>
        <w:t>2. The project</w:t>
      </w:r>
    </w:p>
    <w:p>
      <w:pPr>
        <w:spacing w:after="160" w:before="0"/>
      </w:pPr>
      <w:r>
        <w:rPr>
          <w:b w:val="0"/>
          <w:i w:val="0"/>
          <w:sz w:val="21"/>
        </w:rPr>
        <w:t>The mansion was divided into three addresses. LLAYD controls two of them and is asking for the third. The program below is the whole building, restored to the Secretary of the Interior's Standards and reviewed by CHAP.</w:t>
      </w:r>
    </w:p>
    <w:tbl>
      <w:tblPr>
        <w:tblStyle w:val="TableGrid"/>
        <w:tblW w:type="auto" w:w="0"/>
        <w:jc w:val="center"/>
        <w:tblLook w:firstColumn="1" w:firstRow="1" w:lastColumn="0" w:lastRow="0" w:noHBand="0" w:noVBand="1" w:val="04A0"/>
      </w:tblPr>
      <w:tblGrid>
        <w:gridCol w:w="1378"/>
        <w:gridCol w:w="1378"/>
        <w:gridCol w:w="1378"/>
        <w:gridCol w:w="1378"/>
        <w:gridCol w:w="1378"/>
        <w:gridCol w:w="1378"/>
        <w:gridCol w:w="1378"/>
      </w:tblGrid>
      <w:tr>
        <w:tc>
          <w:tcPr>
            <w:tcW w:type="dxa" w:w="1800"/>
            <w:shd w:val="clear" w:fill="1F2A44"/>
          </w:tcPr>
          <w:p>
            <w:r/>
            <w:r>
              <w:rPr>
                <w:rFonts w:ascii="Arial" w:hAnsi="Arial"/>
                <w:b/>
                <w:color w:val="FFFFFF"/>
                <w:sz w:val="18"/>
              </w:rPr>
              <w:t>Parcel</w:t>
            </w:r>
          </w:p>
        </w:tc>
        <w:tc>
          <w:tcPr>
            <w:tcW w:type="dxa" w:w="1728"/>
            <w:shd w:val="clear" w:fill="1F2A44"/>
          </w:tcPr>
          <w:p>
            <w:r/>
            <w:r>
              <w:rPr>
                <w:rFonts w:ascii="Arial" w:hAnsi="Arial"/>
                <w:b/>
                <w:color w:val="FFFFFF"/>
                <w:sz w:val="18"/>
              </w:rPr>
              <w:t>Status</w:t>
            </w:r>
          </w:p>
        </w:tc>
        <w:tc>
          <w:tcPr>
            <w:tcW w:type="dxa" w:w="1008"/>
            <w:shd w:val="clear" w:fill="1F2A44"/>
          </w:tcPr>
          <w:p>
            <w:pPr>
              <w:jc w:val="right"/>
            </w:pPr>
            <w:r/>
            <w:r>
              <w:rPr>
                <w:rFonts w:ascii="Arial" w:hAnsi="Arial"/>
                <w:b/>
                <w:color w:val="FFFFFF"/>
                <w:sz w:val="18"/>
              </w:rPr>
              <w:t>Gross SF</w:t>
            </w:r>
          </w:p>
        </w:tc>
        <w:tc>
          <w:tcPr>
            <w:tcW w:type="dxa" w:w="648"/>
            <w:shd w:val="clear" w:fill="1F2A44"/>
          </w:tcPr>
          <w:p>
            <w:pPr>
              <w:jc w:val="right"/>
            </w:pPr>
            <w:r/>
            <w:r>
              <w:rPr>
                <w:rFonts w:ascii="Arial" w:hAnsi="Arial"/>
                <w:b/>
                <w:color w:val="FFFFFF"/>
                <w:sz w:val="18"/>
              </w:rPr>
              <w:t>Apts</w:t>
            </w:r>
          </w:p>
        </w:tc>
        <w:tc>
          <w:tcPr>
            <w:tcW w:type="dxa" w:w="1440"/>
            <w:shd w:val="clear" w:fill="1F2A44"/>
          </w:tcPr>
          <w:p>
            <w:pPr>
              <w:jc w:val="right"/>
            </w:pPr>
            <w:r/>
            <w:r>
              <w:rPr>
                <w:rFonts w:ascii="Arial" w:hAnsi="Arial"/>
                <w:b/>
                <w:color w:val="FFFFFF"/>
                <w:sz w:val="18"/>
              </w:rPr>
              <w:t>Commercial</w:t>
            </w:r>
          </w:p>
        </w:tc>
        <w:tc>
          <w:tcPr>
            <w:tcW w:type="dxa" w:w="1512"/>
            <w:shd w:val="clear" w:fill="1F2A44"/>
          </w:tcPr>
          <w:p>
            <w:pPr>
              <w:jc w:val="right"/>
            </w:pPr>
            <w:r/>
            <w:r>
              <w:rPr>
                <w:rFonts w:ascii="Arial" w:hAnsi="Arial"/>
                <w:b/>
                <w:color w:val="FFFFFF"/>
                <w:sz w:val="18"/>
              </w:rPr>
              <w:t>Target rents</w:t>
            </w:r>
          </w:p>
        </w:tc>
        <w:tc>
          <w:tcPr>
            <w:tcW w:type="dxa" w:w="1512"/>
            <w:shd w:val="clear" w:fill="1F2A44"/>
          </w:tcPr>
          <w:p>
            <w:pPr>
              <w:jc w:val="right"/>
            </w:pPr>
            <w:r/>
            <w:r>
              <w:rPr>
                <w:rFonts w:ascii="Arial" w:hAnsi="Arial"/>
                <w:b/>
                <w:color w:val="FFFFFF"/>
                <w:sz w:val="18"/>
              </w:rPr>
              <w:t>Total cost</w:t>
            </w:r>
          </w:p>
        </w:tc>
      </w:tr>
      <w:tr>
        <w:tc>
          <w:tcPr>
            <w:tcW w:type="dxa" w:w="1800"/>
          </w:tcPr>
          <w:p>
            <w:pPr>
              <w:spacing w:after="40" w:before="40"/>
            </w:pPr>
            <w:r/>
            <w:r>
              <w:rPr>
                <w:rFonts w:ascii="Arial" w:hAnsi="Arial"/>
                <w:b w:val="0"/>
                <w:sz w:val="18"/>
              </w:rPr>
              <w:t>1816 N. Charles</w:t>
            </w:r>
          </w:p>
        </w:tc>
        <w:tc>
          <w:tcPr>
            <w:tcW w:type="dxa" w:w="1728"/>
          </w:tcPr>
          <w:p>
            <w:pPr>
              <w:spacing w:after="40" w:before="40"/>
            </w:pPr>
            <w:r/>
            <w:r>
              <w:rPr>
                <w:rFonts w:ascii="Arial" w:hAnsi="Arial"/>
                <w:b w:val="0"/>
                <w:sz w:val="18"/>
              </w:rPr>
              <w:t>Owned · ~25–35% built</w:t>
            </w:r>
          </w:p>
        </w:tc>
        <w:tc>
          <w:tcPr>
            <w:tcW w:type="dxa" w:w="1008"/>
          </w:tcPr>
          <w:p>
            <w:pPr>
              <w:spacing w:after="40" w:before="40"/>
              <w:jc w:val="right"/>
            </w:pPr>
            <w:r/>
            <w:r>
              <w:rPr>
                <w:rFonts w:ascii="Arial" w:hAnsi="Arial"/>
                <w:b w:val="0"/>
                <w:sz w:val="18"/>
              </w:rPr>
              <w:t>≈6,000</w:t>
            </w:r>
          </w:p>
        </w:tc>
        <w:tc>
          <w:tcPr>
            <w:tcW w:type="dxa" w:w="648"/>
          </w:tcPr>
          <w:p>
            <w:pPr>
              <w:spacing w:after="40" w:before="40"/>
              <w:jc w:val="right"/>
            </w:pPr>
            <w:r/>
            <w:r>
              <w:rPr>
                <w:rFonts w:ascii="Arial" w:hAnsi="Arial"/>
                <w:b w:val="0"/>
                <w:sz w:val="18"/>
              </w:rPr>
              <w:t>6</w:t>
            </w:r>
          </w:p>
        </w:tc>
        <w:tc>
          <w:tcPr>
            <w:tcW w:type="dxa" w:w="1440"/>
          </w:tcPr>
          <w:p>
            <w:pPr>
              <w:spacing w:after="40" w:before="40"/>
              <w:jc w:val="right"/>
            </w:pPr>
            <w:r/>
            <w:r>
              <w:rPr>
                <w:rFonts w:ascii="Arial" w:hAnsi="Arial"/>
                <w:b w:val="0"/>
                <w:sz w:val="18"/>
              </w:rPr>
              <w:t>2 (2,280 SF)</w:t>
            </w:r>
          </w:p>
        </w:tc>
        <w:tc>
          <w:tcPr>
            <w:tcW w:type="dxa" w:w="1512"/>
          </w:tcPr>
          <w:p>
            <w:pPr>
              <w:spacing w:after="40" w:before="40"/>
              <w:jc w:val="right"/>
            </w:pPr>
            <w:r/>
            <w:r>
              <w:rPr>
                <w:rFonts w:ascii="Arial" w:hAnsi="Arial"/>
                <w:b w:val="0"/>
                <w:sz w:val="18"/>
              </w:rPr>
              <w:t>$1,850–$2,050</w:t>
            </w:r>
          </w:p>
        </w:tc>
        <w:tc>
          <w:tcPr>
            <w:tcW w:type="dxa" w:w="1512"/>
          </w:tcPr>
          <w:p>
            <w:pPr>
              <w:spacing w:after="40" w:before="40"/>
              <w:jc w:val="right"/>
            </w:pPr>
            <w:r/>
            <w:r>
              <w:rPr>
                <w:rFonts w:ascii="Arial" w:hAnsi="Arial"/>
                <w:b w:val="0"/>
                <w:sz w:val="18"/>
              </w:rPr>
              <w:t>$2,071,780</w:t>
            </w:r>
          </w:p>
        </w:tc>
      </w:tr>
      <w:tr>
        <w:tc>
          <w:tcPr>
            <w:tcW w:type="dxa" w:w="1800"/>
          </w:tcPr>
          <w:p>
            <w:pPr>
              <w:spacing w:after="40" w:before="40"/>
            </w:pPr>
            <w:r/>
            <w:r>
              <w:rPr>
                <w:rFonts w:ascii="Arial" w:hAnsi="Arial"/>
                <w:b w:val="0"/>
                <w:sz w:val="18"/>
              </w:rPr>
              <w:t>1818 N. Charles</w:t>
            </w:r>
          </w:p>
        </w:tc>
        <w:tc>
          <w:tcPr>
            <w:tcW w:type="dxa" w:w="1728"/>
          </w:tcPr>
          <w:p>
            <w:pPr>
              <w:spacing w:after="40" w:before="40"/>
            </w:pPr>
            <w:r/>
            <w:r>
              <w:rPr>
                <w:rFonts w:ascii="Arial" w:hAnsi="Arial"/>
                <w:b w:val="0"/>
                <w:sz w:val="18"/>
              </w:rPr>
              <w:t>Acquired Mar 6, 2026</w:t>
            </w:r>
          </w:p>
        </w:tc>
        <w:tc>
          <w:tcPr>
            <w:tcW w:type="dxa" w:w="1008"/>
          </w:tcPr>
          <w:p>
            <w:pPr>
              <w:spacing w:after="40" w:before="40"/>
              <w:jc w:val="right"/>
            </w:pPr>
            <w:r/>
            <w:r>
              <w:rPr>
                <w:rFonts w:ascii="Arial" w:hAnsi="Arial"/>
                <w:b w:val="0"/>
                <w:sz w:val="18"/>
              </w:rPr>
              <w:t>≈6,400</w:t>
            </w:r>
          </w:p>
        </w:tc>
        <w:tc>
          <w:tcPr>
            <w:tcW w:type="dxa" w:w="648"/>
          </w:tcPr>
          <w:p>
            <w:pPr>
              <w:spacing w:after="40" w:before="40"/>
              <w:jc w:val="right"/>
            </w:pPr>
            <w:r/>
            <w:r>
              <w:rPr>
                <w:rFonts w:ascii="Arial" w:hAnsi="Arial"/>
                <w:b w:val="0"/>
                <w:sz w:val="18"/>
              </w:rPr>
              <w:t>6</w:t>
            </w:r>
          </w:p>
        </w:tc>
        <w:tc>
          <w:tcPr>
            <w:tcW w:type="dxa" w:w="1440"/>
          </w:tcPr>
          <w:p>
            <w:pPr>
              <w:spacing w:after="40" w:before="40"/>
              <w:jc w:val="right"/>
            </w:pPr>
            <w:r/>
            <w:r>
              <w:rPr>
                <w:rFonts w:ascii="Arial" w:hAnsi="Arial"/>
                <w:b w:val="0"/>
                <w:sz w:val="18"/>
              </w:rPr>
              <w:t>1 (2,400 SF)</w:t>
            </w:r>
          </w:p>
        </w:tc>
        <w:tc>
          <w:tcPr>
            <w:tcW w:type="dxa" w:w="1512"/>
          </w:tcPr>
          <w:p>
            <w:pPr>
              <w:spacing w:after="40" w:before="40"/>
              <w:jc w:val="right"/>
            </w:pPr>
            <w:r/>
            <w:r>
              <w:rPr>
                <w:rFonts w:ascii="Arial" w:hAnsi="Arial"/>
                <w:b w:val="0"/>
                <w:sz w:val="18"/>
              </w:rPr>
              <w:t>$2,050–$2,300</w:t>
            </w:r>
          </w:p>
        </w:tc>
        <w:tc>
          <w:tcPr>
            <w:tcW w:type="dxa" w:w="1512"/>
          </w:tcPr>
          <w:p>
            <w:pPr>
              <w:spacing w:after="40" w:before="40"/>
              <w:jc w:val="right"/>
            </w:pPr>
            <w:r/>
            <w:r>
              <w:rPr>
                <w:rFonts w:ascii="Arial" w:hAnsi="Arial"/>
                <w:b w:val="0"/>
                <w:sz w:val="18"/>
              </w:rPr>
              <w:t>$3,293,546</w:t>
            </w:r>
          </w:p>
        </w:tc>
      </w:tr>
      <w:tr>
        <w:tc>
          <w:tcPr>
            <w:tcW w:type="dxa" w:w="1800"/>
          </w:tcPr>
          <w:p>
            <w:pPr>
              <w:spacing w:after="40" w:before="40"/>
            </w:pPr>
            <w:r/>
            <w:r>
              <w:rPr>
                <w:rFonts w:ascii="Arial" w:hAnsi="Arial"/>
                <w:b w:val="0"/>
                <w:sz w:val="18"/>
              </w:rPr>
              <w:t>1820 N. Charles</w:t>
            </w:r>
          </w:p>
        </w:tc>
        <w:tc>
          <w:tcPr>
            <w:tcW w:type="dxa" w:w="1728"/>
          </w:tcPr>
          <w:p>
            <w:pPr>
              <w:spacing w:after="40" w:before="40"/>
            </w:pPr>
            <w:r/>
            <w:r>
              <w:rPr>
                <w:rFonts w:ascii="Arial" w:hAnsi="Arial"/>
                <w:b w:val="0"/>
                <w:sz w:val="18"/>
              </w:rPr>
              <w:t>City-owned · BDC RFP</w:t>
            </w:r>
          </w:p>
        </w:tc>
        <w:tc>
          <w:tcPr>
            <w:tcW w:type="dxa" w:w="1008"/>
          </w:tcPr>
          <w:p>
            <w:pPr>
              <w:spacing w:after="40" w:before="40"/>
              <w:jc w:val="right"/>
            </w:pPr>
            <w:r/>
            <w:r>
              <w:rPr>
                <w:rFonts w:ascii="Arial" w:hAnsi="Arial"/>
                <w:b w:val="0"/>
                <w:sz w:val="18"/>
              </w:rPr>
              <w:t>≈6,300</w:t>
            </w:r>
          </w:p>
        </w:tc>
        <w:tc>
          <w:tcPr>
            <w:tcW w:type="dxa" w:w="648"/>
          </w:tcPr>
          <w:p>
            <w:pPr>
              <w:spacing w:after="40" w:before="40"/>
              <w:jc w:val="right"/>
            </w:pPr>
            <w:r/>
            <w:r>
              <w:rPr>
                <w:rFonts w:ascii="Arial" w:hAnsi="Arial"/>
                <w:b w:val="0"/>
                <w:sz w:val="18"/>
              </w:rPr>
              <w:t>6</w:t>
            </w:r>
          </w:p>
        </w:tc>
        <w:tc>
          <w:tcPr>
            <w:tcW w:type="dxa" w:w="1440"/>
          </w:tcPr>
          <w:p>
            <w:pPr>
              <w:spacing w:after="40" w:before="40"/>
              <w:jc w:val="right"/>
            </w:pPr>
            <w:r/>
            <w:r>
              <w:rPr>
                <w:rFonts w:ascii="Arial" w:hAnsi="Arial"/>
                <w:b w:val="0"/>
                <w:sz w:val="18"/>
              </w:rPr>
              <w:t>1 (1,350 SF)</w:t>
            </w:r>
          </w:p>
        </w:tc>
        <w:tc>
          <w:tcPr>
            <w:tcW w:type="dxa" w:w="1512"/>
          </w:tcPr>
          <w:p>
            <w:pPr>
              <w:spacing w:after="40" w:before="40"/>
              <w:jc w:val="right"/>
            </w:pPr>
            <w:r/>
            <w:r>
              <w:rPr>
                <w:rFonts w:ascii="Arial" w:hAnsi="Arial"/>
                <w:b w:val="0"/>
                <w:sz w:val="18"/>
              </w:rPr>
              <w:t>$2,150–$2,300</w:t>
            </w:r>
          </w:p>
        </w:tc>
        <w:tc>
          <w:tcPr>
            <w:tcW w:type="dxa" w:w="1512"/>
          </w:tcPr>
          <w:p>
            <w:pPr>
              <w:spacing w:after="40" w:before="40"/>
              <w:jc w:val="right"/>
            </w:pPr>
            <w:r/>
            <w:r>
              <w:rPr>
                <w:rFonts w:ascii="Arial" w:hAnsi="Arial"/>
                <w:b w:val="0"/>
                <w:sz w:val="18"/>
              </w:rPr>
              <w:t>$2,872,477</w:t>
            </w:r>
          </w:p>
        </w:tc>
      </w:tr>
      <w:tr>
        <w:tc>
          <w:tcPr>
            <w:tcW w:type="dxa" w:w="1800"/>
            <w:shd w:val="clear" w:fill="F2F2F2"/>
          </w:tcPr>
          <w:p>
            <w:pPr>
              <w:spacing w:after="40" w:before="40"/>
            </w:pPr>
            <w:r/>
            <w:r>
              <w:rPr>
                <w:rFonts w:ascii="Arial" w:hAnsi="Arial"/>
                <w:b/>
                <w:sz w:val="18"/>
              </w:rPr>
              <w:t>Total</w:t>
            </w:r>
          </w:p>
        </w:tc>
        <w:tc>
          <w:tcPr>
            <w:tcW w:type="dxa" w:w="1728"/>
            <w:shd w:val="clear" w:fill="F2F2F2"/>
          </w:tcPr>
          <w:p>
            <w:pPr>
              <w:spacing w:after="40" w:before="40"/>
            </w:pPr>
            <w:r/>
            <w:r>
              <w:rPr>
                <w:rFonts w:ascii="Arial" w:hAnsi="Arial"/>
                <w:b/>
                <w:sz w:val="18"/>
              </w:rPr>
            </w:r>
          </w:p>
        </w:tc>
        <w:tc>
          <w:tcPr>
            <w:tcW w:type="dxa" w:w="1008"/>
            <w:shd w:val="clear" w:fill="F2F2F2"/>
          </w:tcPr>
          <w:p>
            <w:pPr>
              <w:spacing w:after="40" w:before="40"/>
              <w:jc w:val="right"/>
            </w:pPr>
            <w:r/>
            <w:r>
              <w:rPr>
                <w:rFonts w:ascii="Arial" w:hAnsi="Arial"/>
                <w:b/>
                <w:sz w:val="18"/>
              </w:rPr>
            </w:r>
          </w:p>
        </w:tc>
        <w:tc>
          <w:tcPr>
            <w:tcW w:type="dxa" w:w="648"/>
            <w:shd w:val="clear" w:fill="F2F2F2"/>
          </w:tcPr>
          <w:p>
            <w:pPr>
              <w:spacing w:after="40" w:before="40"/>
              <w:jc w:val="right"/>
            </w:pPr>
            <w:r/>
            <w:r>
              <w:rPr>
                <w:rFonts w:ascii="Arial" w:hAnsi="Arial"/>
                <w:b/>
                <w:sz w:val="18"/>
              </w:rPr>
              <w:t>18</w:t>
            </w:r>
          </w:p>
        </w:tc>
        <w:tc>
          <w:tcPr>
            <w:tcW w:type="dxa" w:w="1440"/>
            <w:shd w:val="clear" w:fill="F2F2F2"/>
          </w:tcPr>
          <w:p>
            <w:pPr>
              <w:spacing w:after="40" w:before="40"/>
              <w:jc w:val="right"/>
            </w:pPr>
            <w:r/>
            <w:r>
              <w:rPr>
                <w:rFonts w:ascii="Arial" w:hAnsi="Arial"/>
                <w:b/>
                <w:sz w:val="18"/>
              </w:rPr>
              <w:t>4 (6,030 SF)</w:t>
            </w:r>
          </w:p>
        </w:tc>
        <w:tc>
          <w:tcPr>
            <w:tcW w:type="dxa" w:w="1512"/>
            <w:shd w:val="clear" w:fill="F2F2F2"/>
          </w:tcPr>
          <w:p>
            <w:pPr>
              <w:spacing w:after="40" w:before="40"/>
              <w:jc w:val="right"/>
            </w:pPr>
            <w:r/>
            <w:r>
              <w:rPr>
                <w:rFonts w:ascii="Arial" w:hAnsi="Arial"/>
                <w:b/>
                <w:sz w:val="18"/>
              </w:rPr>
              <w:t>avg $2,119</w:t>
            </w:r>
          </w:p>
        </w:tc>
        <w:tc>
          <w:tcPr>
            <w:tcW w:type="dxa" w:w="1512"/>
            <w:shd w:val="clear" w:fill="F2F2F2"/>
          </w:tcPr>
          <w:p>
            <w:pPr>
              <w:spacing w:after="40" w:before="40"/>
              <w:jc w:val="right"/>
            </w:pPr>
            <w:r/>
            <w:r>
              <w:rPr>
                <w:rFonts w:ascii="Arial" w:hAnsi="Arial"/>
                <w:b/>
                <w:sz w:val="18"/>
              </w:rPr>
              <w:t>$8,237,803</w:t>
            </w:r>
          </w:p>
        </w:tc>
      </w:tr>
    </w:tbl>
    <w:p>
      <w:pPr>
        <w:spacing w:after="120" w:before="0"/>
      </w:pPr>
      <w:r>
        <w:rPr>
          <w:b w:val="0"/>
          <w:i w:val="0"/>
          <w:sz w:val="8"/>
        </w:rPr>
      </w:r>
    </w:p>
    <w:p>
      <w:pPr>
        <w:pStyle w:val="Heading2"/>
        <w:keepNext/>
        <w:spacing w:after="80" w:before="240"/>
      </w:pPr>
      <w:r>
        <w:rPr>
          <w:rFonts w:ascii="Arial" w:hAnsi="Arial"/>
          <w:b/>
          <w:i w:val="0"/>
          <w:color w:val="1F2A44"/>
          <w:sz w:val="23"/>
        </w:rPr>
        <w:t>What gets built</w:t>
      </w:r>
    </w:p>
    <w:p>
      <w:pPr>
        <w:pStyle w:val="ListBullet"/>
        <w:spacing w:after="60"/>
      </w:pPr>
      <w:r>
        <w:rPr>
          <w:rFonts w:ascii="Arial" w:hAnsi="Arial"/>
          <w:sz w:val="21"/>
        </w:rPr>
        <w:t>1816: six apartments (1BR plus a studio loft in the new 4th-floor addition) and two commercial units. Structure and the 4th-floor addition shell are complete; about $1.1M has been invested to date.</w:t>
      </w:r>
    </w:p>
    <w:p>
      <w:pPr>
        <w:pStyle w:val="ListBullet"/>
        <w:spacing w:after="60"/>
      </w:pPr>
      <w:r>
        <w:rPr>
          <w:rFonts w:ascii="Arial" w:hAnsi="Arial"/>
          <w:sz w:val="21"/>
        </w:rPr>
        <w:t>1818: the former restaurant/lounge keeps a food-and-beverage space on the ground and lower levels, with six apartments above — the 2nd floor plus a new 3rd–4th floor addition, subject to structural study and CHAP review.</w:t>
      </w:r>
    </w:p>
    <w:p>
      <w:pPr>
        <w:pStyle w:val="ListBullet"/>
        <w:spacing w:after="60"/>
      </w:pPr>
      <w:r>
        <w:rPr>
          <w:rFonts w:ascii="Arial" w:hAnsi="Arial"/>
          <w:sz w:val="21"/>
        </w:rPr>
        <w:t>1820: parlor-floor commercial space with six apartments above, including 2BR fronts on each floor.</w:t>
      </w:r>
    </w:p>
    <w:p>
      <w:pPr>
        <w:pStyle w:val="Heading2"/>
        <w:keepNext/>
        <w:spacing w:after="80" w:before="240"/>
      </w:pPr>
      <w:r>
        <w:rPr>
          <w:rFonts w:ascii="Arial" w:hAnsi="Arial"/>
          <w:b/>
          <w:i w:val="0"/>
          <w:color w:val="1F2A44"/>
          <w:sz w:val="23"/>
        </w:rPr>
        <w:t>How it will be run</w:t>
      </w:r>
    </w:p>
    <w:p>
      <w:pPr>
        <w:pStyle w:val="ListBullet"/>
        <w:spacing w:after="60"/>
      </w:pPr>
      <w:r>
        <w:rPr>
          <w:rFonts w:ascii="Arial" w:hAnsi="Arial"/>
          <w:sz w:val="21"/>
        </w:rPr>
        <w:t>Every apartment is fully furnished: Brazilian cherry hardwood or imported porcelain tile, a smart-home and premium appliance package, and in-unit laundry.</w:t>
      </w:r>
    </w:p>
    <w:p>
      <w:pPr>
        <w:pStyle w:val="ListBullet"/>
        <w:spacing w:after="60"/>
      </w:pPr>
      <w:r>
        <w:rPr>
          <w:rFonts w:ascii="Arial" w:hAnsi="Arial"/>
          <w:sz w:val="21"/>
        </w:rPr>
        <w:t>All nine rear apartments get a private, furnished 18′ × 8′ deck with an electric outdoor cooking station (electric only, per Baltimore City Fire Code §308).</w:t>
      </w:r>
    </w:p>
    <w:p>
      <w:pPr>
        <w:pStyle w:val="ListBullet"/>
        <w:spacing w:after="60"/>
      </w:pPr>
      <w:r>
        <w:rPr>
          <w:rFonts w:ascii="Arial" w:hAnsi="Arial"/>
          <w:sz w:val="21"/>
        </w:rPr>
        <w:t>NFPA 13R sprinklers, energy-efficient systems, and CHAP-compliant masonry, wood windows and cornice restoration.</w:t>
      </w:r>
    </w:p>
    <w:p>
      <w:pPr>
        <w:pStyle w:val="ListBullet"/>
        <w:spacing w:after="60"/>
      </w:pPr>
      <w:r>
        <w:rPr>
          <w:rFonts w:ascii="Arial" w:hAnsi="Arial"/>
          <w:sz w:val="21"/>
        </w:rPr>
        <w:t>Long-term hold by LLAYD, with property management by ERJ Development LLC.</w:t>
      </w:r>
    </w:p>
    <w:p>
      <w:pPr>
        <w:pStyle w:val="Heading1"/>
        <w:keepNext/>
        <w:spacing w:after="120" w:before="320"/>
      </w:pPr>
      <w:r>
        <w:rPr>
          <w:rFonts w:ascii="Arial" w:hAnsi="Arial"/>
          <w:b/>
          <w:i w:val="0"/>
          <w:color w:val="1F2A44"/>
          <w:sz w:val="30"/>
        </w:rPr>
        <w:t>3. Uses of funds</w:t>
      </w:r>
    </w:p>
    <w:p>
      <w:pPr>
        <w:spacing w:after="160" w:before="0"/>
      </w:pPr>
      <w:r>
        <w:rPr>
          <w:b w:val="0"/>
          <w:i w:val="0"/>
          <w:sz w:val="21"/>
        </w:rPr>
        <w:t>Total uses are $8,237,803. The table gives every line by parcel. Hard costs carry the general contractor's fee, escalation to the construction midpoint and contingency; they are broken out in the construction budget below and on the Construction_Budget tab of the Excel model.</w:t>
      </w:r>
    </w:p>
    <w:tbl>
      <w:tblPr>
        <w:tblStyle w:val="TableGrid"/>
        <w:tblW w:type="auto" w:w="0"/>
        <w:jc w:val="center"/>
        <w:tblLook w:firstColumn="1" w:firstRow="1" w:lastColumn="0" w:lastRow="0" w:noHBand="0" w:noVBand="1" w:val="04A0"/>
      </w:tblPr>
      <w:tblGrid>
        <w:gridCol w:w="1930"/>
        <w:gridCol w:w="1930"/>
        <w:gridCol w:w="1930"/>
        <w:gridCol w:w="1930"/>
        <w:gridCol w:w="1930"/>
      </w:tblGrid>
      <w:tr>
        <w:tc>
          <w:tcPr>
            <w:tcW w:type="dxa" w:w="3744"/>
            <w:shd w:val="clear" w:fill="1F2A44"/>
          </w:tcPr>
          <w:p>
            <w:r/>
            <w:r>
              <w:rPr>
                <w:rFonts w:ascii="Arial" w:hAnsi="Arial"/>
                <w:b/>
                <w:color w:val="FFFFFF"/>
                <w:sz w:val="19"/>
              </w:rPr>
              <w:t>Use</w:t>
            </w:r>
          </w:p>
        </w:tc>
        <w:tc>
          <w:tcPr>
            <w:tcW w:type="dxa" w:w="1512"/>
            <w:shd w:val="clear" w:fill="1F2A44"/>
          </w:tcPr>
          <w:p>
            <w:pPr>
              <w:jc w:val="right"/>
            </w:pPr>
            <w:r/>
            <w:r>
              <w:rPr>
                <w:rFonts w:ascii="Arial" w:hAnsi="Arial"/>
                <w:b/>
                <w:color w:val="FFFFFF"/>
                <w:sz w:val="19"/>
              </w:rPr>
              <w:t>1816</w:t>
            </w:r>
          </w:p>
        </w:tc>
        <w:tc>
          <w:tcPr>
            <w:tcW w:type="dxa" w:w="1512"/>
            <w:shd w:val="clear" w:fill="1F2A44"/>
          </w:tcPr>
          <w:p>
            <w:pPr>
              <w:jc w:val="right"/>
            </w:pPr>
            <w:r/>
            <w:r>
              <w:rPr>
                <w:rFonts w:ascii="Arial" w:hAnsi="Arial"/>
                <w:b/>
                <w:color w:val="FFFFFF"/>
                <w:sz w:val="19"/>
              </w:rPr>
              <w:t>1818</w:t>
            </w:r>
          </w:p>
        </w:tc>
        <w:tc>
          <w:tcPr>
            <w:tcW w:type="dxa" w:w="1512"/>
            <w:shd w:val="clear" w:fill="1F2A44"/>
          </w:tcPr>
          <w:p>
            <w:pPr>
              <w:jc w:val="right"/>
            </w:pPr>
            <w:r/>
            <w:r>
              <w:rPr>
                <w:rFonts w:ascii="Arial" w:hAnsi="Arial"/>
                <w:b/>
                <w:color w:val="FFFFFF"/>
                <w:sz w:val="19"/>
              </w:rPr>
              <w:t>1820</w:t>
            </w:r>
          </w:p>
        </w:tc>
        <w:tc>
          <w:tcPr>
            <w:tcW w:type="dxa" w:w="1512"/>
            <w:shd w:val="clear" w:fill="1F2A44"/>
          </w:tcPr>
          <w:p>
            <w:pPr>
              <w:jc w:val="right"/>
            </w:pPr>
            <w:r/>
            <w:r>
              <w:rPr>
                <w:rFonts w:ascii="Arial" w:hAnsi="Arial"/>
                <w:b/>
                <w:color w:val="FFFFFF"/>
                <w:sz w:val="19"/>
              </w:rPr>
              <w:t>Total</w:t>
            </w:r>
          </w:p>
        </w:tc>
      </w:tr>
      <w:tr>
        <w:tc>
          <w:tcPr>
            <w:tcW w:type="dxa" w:w="3744"/>
          </w:tcPr>
          <w:p>
            <w:pPr>
              <w:spacing w:after="40" w:before="40"/>
            </w:pPr>
            <w:r/>
            <w:r>
              <w:rPr>
                <w:rFonts w:ascii="Arial" w:hAnsi="Arial"/>
                <w:b w:val="0"/>
                <w:sz w:val="19"/>
              </w:rPr>
              <w:t>Acquisition</w:t>
            </w:r>
          </w:p>
        </w:tc>
        <w:tc>
          <w:tcPr>
            <w:tcW w:type="dxa" w:w="1512"/>
          </w:tcPr>
          <w:p>
            <w:pPr>
              <w:spacing w:after="40" w:before="40"/>
              <w:jc w:val="right"/>
            </w:pPr>
            <w:r/>
            <w:r>
              <w:rPr>
                <w:rFonts w:ascii="Arial" w:hAnsi="Arial"/>
                <w:b w:val="0"/>
                <w:sz w:val="19"/>
              </w:rPr>
              <w:t>$300,000</w:t>
            </w:r>
          </w:p>
        </w:tc>
        <w:tc>
          <w:tcPr>
            <w:tcW w:type="dxa" w:w="1512"/>
          </w:tcPr>
          <w:p>
            <w:pPr>
              <w:spacing w:after="40" w:before="40"/>
              <w:jc w:val="right"/>
            </w:pPr>
            <w:r/>
            <w:r>
              <w:rPr>
                <w:rFonts w:ascii="Arial" w:hAnsi="Arial"/>
                <w:b w:val="0"/>
                <w:sz w:val="19"/>
              </w:rPr>
              <w:t>$150,000</w:t>
            </w:r>
          </w:p>
        </w:tc>
        <w:tc>
          <w:tcPr>
            <w:tcW w:type="dxa" w:w="1512"/>
          </w:tcPr>
          <w:p>
            <w:pPr>
              <w:spacing w:after="40" w:before="40"/>
              <w:jc w:val="right"/>
            </w:pPr>
            <w:r/>
            <w:r>
              <w:rPr>
                <w:rFonts w:ascii="Arial" w:hAnsi="Arial"/>
                <w:b w:val="0"/>
                <w:sz w:val="19"/>
              </w:rPr>
              <w:t>$3,000</w:t>
            </w:r>
          </w:p>
        </w:tc>
        <w:tc>
          <w:tcPr>
            <w:tcW w:type="dxa" w:w="1512"/>
          </w:tcPr>
          <w:p>
            <w:pPr>
              <w:spacing w:after="40" w:before="40"/>
              <w:jc w:val="right"/>
            </w:pPr>
            <w:r/>
            <w:r>
              <w:rPr>
                <w:rFonts w:ascii="Arial" w:hAnsi="Arial"/>
                <w:b w:val="0"/>
                <w:sz w:val="19"/>
              </w:rPr>
              <w:t>$453,000</w:t>
            </w:r>
          </w:p>
        </w:tc>
      </w:tr>
      <w:tr>
        <w:tc>
          <w:tcPr>
            <w:tcW w:type="dxa" w:w="3744"/>
          </w:tcPr>
          <w:p>
            <w:pPr>
              <w:spacing w:after="40" w:before="40"/>
            </w:pPr>
            <w:r/>
            <w:r>
              <w:rPr>
                <w:rFonts w:ascii="Arial" w:hAnsi="Arial"/>
                <w:b w:val="0"/>
                <w:sz w:val="19"/>
              </w:rPr>
              <w:t>Closing &amp; transfer</w:t>
            </w:r>
          </w:p>
        </w:tc>
        <w:tc>
          <w:tcPr>
            <w:tcW w:type="dxa" w:w="1512"/>
          </w:tcPr>
          <w:p>
            <w:pPr>
              <w:spacing w:after="40" w:before="40"/>
              <w:jc w:val="right"/>
            </w:pPr>
            <w:r/>
            <w:r>
              <w:rPr>
                <w:rFonts w:ascii="Arial" w:hAnsi="Arial"/>
                <w:b w:val="0"/>
                <w:sz w:val="19"/>
              </w:rPr>
              <w:t>$36,052</w:t>
            </w:r>
          </w:p>
        </w:tc>
        <w:tc>
          <w:tcPr>
            <w:tcW w:type="dxa" w:w="1512"/>
          </w:tcPr>
          <w:p>
            <w:pPr>
              <w:spacing w:after="40" w:before="40"/>
              <w:jc w:val="right"/>
            </w:pPr>
            <w:r/>
            <w:r>
              <w:rPr>
                <w:rFonts w:ascii="Arial" w:hAnsi="Arial"/>
                <w:b w:val="0"/>
                <w:sz w:val="19"/>
              </w:rPr>
              <w:t>$7,500</w:t>
            </w:r>
          </w:p>
        </w:tc>
        <w:tc>
          <w:tcPr>
            <w:tcW w:type="dxa" w:w="1512"/>
          </w:tcPr>
          <w:p>
            <w:pPr>
              <w:spacing w:after="40" w:before="40"/>
              <w:jc w:val="right"/>
            </w:pPr>
            <w:r/>
            <w:r>
              <w:rPr>
                <w:rFonts w:ascii="Arial" w:hAnsi="Arial"/>
                <w:b w:val="0"/>
                <w:sz w:val="19"/>
              </w:rPr>
              <w:t>$7,500</w:t>
            </w:r>
          </w:p>
        </w:tc>
        <w:tc>
          <w:tcPr>
            <w:tcW w:type="dxa" w:w="1512"/>
          </w:tcPr>
          <w:p>
            <w:pPr>
              <w:spacing w:after="40" w:before="40"/>
              <w:jc w:val="right"/>
            </w:pPr>
            <w:r/>
            <w:r>
              <w:rPr>
                <w:rFonts w:ascii="Arial" w:hAnsi="Arial"/>
                <w:b w:val="0"/>
                <w:sz w:val="19"/>
              </w:rPr>
              <w:t>$51,052</w:t>
            </w:r>
          </w:p>
        </w:tc>
      </w:tr>
      <w:tr>
        <w:tc>
          <w:tcPr>
            <w:tcW w:type="dxa" w:w="3744"/>
          </w:tcPr>
          <w:p>
            <w:pPr>
              <w:spacing w:after="40" w:before="40"/>
            </w:pPr>
            <w:r/>
            <w:r>
              <w:rPr>
                <w:rFonts w:ascii="Arial" w:hAnsi="Arial"/>
                <w:b w:val="0"/>
                <w:sz w:val="19"/>
              </w:rPr>
              <w:t>Work completed to date</w:t>
            </w:r>
          </w:p>
        </w:tc>
        <w:tc>
          <w:tcPr>
            <w:tcW w:type="dxa" w:w="1512"/>
          </w:tcPr>
          <w:p>
            <w:pPr>
              <w:spacing w:after="40" w:before="40"/>
              <w:jc w:val="right"/>
            </w:pPr>
            <w:r/>
            <w:r>
              <w:rPr>
                <w:rFonts w:ascii="Arial" w:hAnsi="Arial"/>
                <w:b w:val="0"/>
                <w:sz w:val="19"/>
              </w:rPr>
              <w:t>$797,000</w:t>
            </w:r>
          </w:p>
        </w:tc>
        <w:tc>
          <w:tcPr>
            <w:tcW w:type="dxa" w:w="1512"/>
          </w:tcPr>
          <w:p>
            <w:pPr>
              <w:spacing w:after="40" w:before="40"/>
              <w:jc w:val="right"/>
            </w:pPr>
            <w:r/>
            <w:r>
              <w:rPr>
                <w:rFonts w:ascii="Arial" w:hAnsi="Arial"/>
                <w:b w:val="0"/>
                <w:sz w:val="19"/>
              </w:rPr>
              <w:t>$0</w:t>
            </w:r>
          </w:p>
        </w:tc>
        <w:tc>
          <w:tcPr>
            <w:tcW w:type="dxa" w:w="1512"/>
          </w:tcPr>
          <w:p>
            <w:pPr>
              <w:spacing w:after="40" w:before="40"/>
              <w:jc w:val="right"/>
            </w:pPr>
            <w:r/>
            <w:r>
              <w:rPr>
                <w:rFonts w:ascii="Arial" w:hAnsi="Arial"/>
                <w:b w:val="0"/>
                <w:sz w:val="19"/>
              </w:rPr>
              <w:t>$0</w:t>
            </w:r>
          </w:p>
        </w:tc>
        <w:tc>
          <w:tcPr>
            <w:tcW w:type="dxa" w:w="1512"/>
          </w:tcPr>
          <w:p>
            <w:pPr>
              <w:spacing w:after="40" w:before="40"/>
              <w:jc w:val="right"/>
            </w:pPr>
            <w:r/>
            <w:r>
              <w:rPr>
                <w:rFonts w:ascii="Arial" w:hAnsi="Arial"/>
                <w:b w:val="0"/>
                <w:sz w:val="19"/>
              </w:rPr>
              <w:t>$797,000</w:t>
            </w:r>
          </w:p>
        </w:tc>
      </w:tr>
      <w:tr>
        <w:tc>
          <w:tcPr>
            <w:tcW w:type="dxa" w:w="3744"/>
          </w:tcPr>
          <w:p>
            <w:pPr>
              <w:spacing w:after="40" w:before="40"/>
            </w:pPr>
            <w:r/>
            <w:r>
              <w:rPr>
                <w:rFonts w:ascii="Arial" w:hAnsi="Arial"/>
                <w:b w:val="0"/>
                <w:sz w:val="19"/>
              </w:rPr>
              <w:t>Carrying costs to date</w:t>
            </w:r>
          </w:p>
        </w:tc>
        <w:tc>
          <w:tcPr>
            <w:tcW w:type="dxa" w:w="1512"/>
          </w:tcPr>
          <w:p>
            <w:pPr>
              <w:spacing w:after="40" w:before="40"/>
              <w:jc w:val="right"/>
            </w:pPr>
            <w:r/>
            <w:r>
              <w:rPr>
                <w:rFonts w:ascii="Arial" w:hAnsi="Arial"/>
                <w:b w:val="0"/>
                <w:sz w:val="19"/>
              </w:rPr>
              <w:t>$230,744</w:t>
            </w:r>
          </w:p>
        </w:tc>
        <w:tc>
          <w:tcPr>
            <w:tcW w:type="dxa" w:w="1512"/>
          </w:tcPr>
          <w:p>
            <w:pPr>
              <w:spacing w:after="40" w:before="40"/>
              <w:jc w:val="right"/>
            </w:pPr>
            <w:r/>
            <w:r>
              <w:rPr>
                <w:rFonts w:ascii="Arial" w:hAnsi="Arial"/>
                <w:b w:val="0"/>
                <w:sz w:val="19"/>
              </w:rPr>
              <w:t>$0</w:t>
            </w:r>
          </w:p>
        </w:tc>
        <w:tc>
          <w:tcPr>
            <w:tcW w:type="dxa" w:w="1512"/>
          </w:tcPr>
          <w:p>
            <w:pPr>
              <w:spacing w:after="40" w:before="40"/>
              <w:jc w:val="right"/>
            </w:pPr>
            <w:r/>
            <w:r>
              <w:rPr>
                <w:rFonts w:ascii="Arial" w:hAnsi="Arial"/>
                <w:b w:val="0"/>
                <w:sz w:val="19"/>
              </w:rPr>
              <w:t>$0</w:t>
            </w:r>
          </w:p>
        </w:tc>
        <w:tc>
          <w:tcPr>
            <w:tcW w:type="dxa" w:w="1512"/>
          </w:tcPr>
          <w:p>
            <w:pPr>
              <w:spacing w:after="40" w:before="40"/>
              <w:jc w:val="right"/>
            </w:pPr>
            <w:r/>
            <w:r>
              <w:rPr>
                <w:rFonts w:ascii="Arial" w:hAnsi="Arial"/>
                <w:b w:val="0"/>
                <w:sz w:val="19"/>
              </w:rPr>
              <w:t>$230,744</w:t>
            </w:r>
          </w:p>
        </w:tc>
      </w:tr>
      <w:tr>
        <w:tc>
          <w:tcPr>
            <w:tcW w:type="dxa" w:w="3744"/>
          </w:tcPr>
          <w:p>
            <w:pPr>
              <w:spacing w:after="40" w:before="40"/>
            </w:pPr>
            <w:r/>
            <w:r>
              <w:rPr>
                <w:rFonts w:ascii="Arial" w:hAnsi="Arial"/>
                <w:b w:val="0"/>
                <w:sz w:val="19"/>
              </w:rPr>
              <w:t>Hard costs (incl. GC fee, escalation, contingency)</w:t>
            </w:r>
          </w:p>
        </w:tc>
        <w:tc>
          <w:tcPr>
            <w:tcW w:type="dxa" w:w="1512"/>
          </w:tcPr>
          <w:p>
            <w:pPr>
              <w:spacing w:after="40" w:before="40"/>
              <w:jc w:val="right"/>
            </w:pPr>
            <w:r/>
            <w:r>
              <w:rPr>
                <w:rFonts w:ascii="Arial" w:hAnsi="Arial"/>
                <w:b w:val="0"/>
                <w:sz w:val="19"/>
              </w:rPr>
              <w:t>$483,648</w:t>
            </w:r>
          </w:p>
        </w:tc>
        <w:tc>
          <w:tcPr>
            <w:tcW w:type="dxa" w:w="1512"/>
          </w:tcPr>
          <w:p>
            <w:pPr>
              <w:spacing w:after="40" w:before="40"/>
              <w:jc w:val="right"/>
            </w:pPr>
            <w:r/>
            <w:r>
              <w:rPr>
                <w:rFonts w:ascii="Arial" w:hAnsi="Arial"/>
                <w:b w:val="0"/>
                <w:sz w:val="19"/>
              </w:rPr>
              <w:t>$2,374,617</w:t>
            </w:r>
          </w:p>
        </w:tc>
        <w:tc>
          <w:tcPr>
            <w:tcW w:type="dxa" w:w="1512"/>
          </w:tcPr>
          <w:p>
            <w:pPr>
              <w:spacing w:after="40" w:before="40"/>
              <w:jc w:val="right"/>
            </w:pPr>
            <w:r/>
            <w:r>
              <w:rPr>
                <w:rFonts w:ascii="Arial" w:hAnsi="Arial"/>
                <w:b w:val="0"/>
                <w:sz w:val="19"/>
              </w:rPr>
              <w:t>$2,159,731</w:t>
            </w:r>
          </w:p>
        </w:tc>
        <w:tc>
          <w:tcPr>
            <w:tcW w:type="dxa" w:w="1512"/>
          </w:tcPr>
          <w:p>
            <w:pPr>
              <w:spacing w:after="40" w:before="40"/>
              <w:jc w:val="right"/>
            </w:pPr>
            <w:r/>
            <w:r>
              <w:rPr>
                <w:rFonts w:ascii="Arial" w:hAnsi="Arial"/>
                <w:b w:val="0"/>
                <w:sz w:val="19"/>
              </w:rPr>
              <w:t>$5,017,996</w:t>
            </w:r>
          </w:p>
        </w:tc>
      </w:tr>
      <w:tr>
        <w:tc>
          <w:tcPr>
            <w:tcW w:type="dxa" w:w="3744"/>
          </w:tcPr>
          <w:p>
            <w:pPr>
              <w:spacing w:after="40" w:before="40"/>
            </w:pPr>
            <w:r/>
            <w:r>
              <w:rPr>
                <w:rFonts w:ascii="Arial" w:hAnsi="Arial"/>
                <w:b w:val="0"/>
                <w:sz w:val="19"/>
              </w:rPr>
              <w:t>Soft costs</w:t>
            </w:r>
          </w:p>
        </w:tc>
        <w:tc>
          <w:tcPr>
            <w:tcW w:type="dxa" w:w="1512"/>
          </w:tcPr>
          <w:p>
            <w:pPr>
              <w:spacing w:after="40" w:before="40"/>
              <w:jc w:val="right"/>
            </w:pPr>
            <w:r/>
            <w:r>
              <w:rPr>
                <w:rFonts w:ascii="Arial" w:hAnsi="Arial"/>
                <w:b w:val="0"/>
                <w:sz w:val="19"/>
              </w:rPr>
              <w:t>$31,000</w:t>
            </w:r>
          </w:p>
        </w:tc>
        <w:tc>
          <w:tcPr>
            <w:tcW w:type="dxa" w:w="1512"/>
          </w:tcPr>
          <w:p>
            <w:pPr>
              <w:spacing w:after="40" w:before="40"/>
              <w:jc w:val="right"/>
            </w:pPr>
            <w:r/>
            <w:r>
              <w:rPr>
                <w:rFonts w:ascii="Arial" w:hAnsi="Arial"/>
                <w:b w:val="0"/>
                <w:sz w:val="19"/>
              </w:rPr>
              <w:t>$284,901</w:t>
            </w:r>
          </w:p>
        </w:tc>
        <w:tc>
          <w:tcPr>
            <w:tcW w:type="dxa" w:w="1512"/>
          </w:tcPr>
          <w:p>
            <w:pPr>
              <w:spacing w:after="40" w:before="40"/>
              <w:jc w:val="right"/>
            </w:pPr>
            <w:r/>
            <w:r>
              <w:rPr>
                <w:rFonts w:ascii="Arial" w:hAnsi="Arial"/>
                <w:b w:val="0"/>
                <w:sz w:val="19"/>
              </w:rPr>
              <w:t>$260,758</w:t>
            </w:r>
          </w:p>
        </w:tc>
        <w:tc>
          <w:tcPr>
            <w:tcW w:type="dxa" w:w="1512"/>
          </w:tcPr>
          <w:p>
            <w:pPr>
              <w:spacing w:after="40" w:before="40"/>
              <w:jc w:val="right"/>
            </w:pPr>
            <w:r/>
            <w:r>
              <w:rPr>
                <w:rFonts w:ascii="Arial" w:hAnsi="Arial"/>
                <w:b w:val="0"/>
                <w:sz w:val="19"/>
              </w:rPr>
              <w:t>$576,659</w:t>
            </w:r>
          </w:p>
        </w:tc>
      </w:tr>
      <w:tr>
        <w:tc>
          <w:tcPr>
            <w:tcW w:type="dxa" w:w="3744"/>
          </w:tcPr>
          <w:p>
            <w:pPr>
              <w:spacing w:after="40" w:before="40"/>
            </w:pPr>
            <w:r/>
            <w:r>
              <w:rPr>
                <w:rFonts w:ascii="Arial" w:hAnsi="Arial"/>
                <w:b w:val="0"/>
                <w:sz w:val="19"/>
              </w:rPr>
              <w:t>Furniture, fixtures &amp; equipment</w:t>
            </w:r>
          </w:p>
        </w:tc>
        <w:tc>
          <w:tcPr>
            <w:tcW w:type="dxa" w:w="1512"/>
          </w:tcPr>
          <w:p>
            <w:pPr>
              <w:spacing w:after="40" w:before="40"/>
              <w:jc w:val="right"/>
            </w:pPr>
            <w:r/>
            <w:r>
              <w:rPr>
                <w:rFonts w:ascii="Arial" w:hAnsi="Arial"/>
                <w:b w:val="0"/>
                <w:sz w:val="19"/>
              </w:rPr>
              <w:t>$82,500</w:t>
            </w:r>
          </w:p>
        </w:tc>
        <w:tc>
          <w:tcPr>
            <w:tcW w:type="dxa" w:w="1512"/>
          </w:tcPr>
          <w:p>
            <w:pPr>
              <w:spacing w:after="40" w:before="40"/>
              <w:jc w:val="right"/>
            </w:pPr>
            <w:r/>
            <w:r>
              <w:rPr>
                <w:rFonts w:ascii="Arial" w:hAnsi="Arial"/>
                <w:b w:val="0"/>
                <w:sz w:val="19"/>
              </w:rPr>
              <w:t>$82,500</w:t>
            </w:r>
          </w:p>
        </w:tc>
        <w:tc>
          <w:tcPr>
            <w:tcW w:type="dxa" w:w="1512"/>
          </w:tcPr>
          <w:p>
            <w:pPr>
              <w:spacing w:after="40" w:before="40"/>
              <w:jc w:val="right"/>
            </w:pPr>
            <w:r/>
            <w:r>
              <w:rPr>
                <w:rFonts w:ascii="Arial" w:hAnsi="Arial"/>
                <w:b w:val="0"/>
                <w:sz w:val="19"/>
              </w:rPr>
              <w:t>$82,500</w:t>
            </w:r>
          </w:p>
        </w:tc>
        <w:tc>
          <w:tcPr>
            <w:tcW w:type="dxa" w:w="1512"/>
          </w:tcPr>
          <w:p>
            <w:pPr>
              <w:spacing w:after="40" w:before="40"/>
              <w:jc w:val="right"/>
            </w:pPr>
            <w:r/>
            <w:r>
              <w:rPr>
                <w:rFonts w:ascii="Arial" w:hAnsi="Arial"/>
                <w:b w:val="0"/>
                <w:sz w:val="19"/>
              </w:rPr>
              <w:t>$247,500</w:t>
            </w:r>
          </w:p>
        </w:tc>
      </w:tr>
      <w:tr>
        <w:tc>
          <w:tcPr>
            <w:tcW w:type="dxa" w:w="3744"/>
          </w:tcPr>
          <w:p>
            <w:pPr>
              <w:spacing w:after="40" w:before="40"/>
            </w:pPr>
            <w:r/>
            <w:r>
              <w:rPr>
                <w:rFonts w:ascii="Arial" w:hAnsi="Arial"/>
                <w:b w:val="0"/>
                <w:sz w:val="19"/>
              </w:rPr>
              <w:t>Financing costs</w:t>
            </w:r>
          </w:p>
        </w:tc>
        <w:tc>
          <w:tcPr>
            <w:tcW w:type="dxa" w:w="1512"/>
          </w:tcPr>
          <w:p>
            <w:pPr>
              <w:spacing w:after="40" w:before="40"/>
              <w:jc w:val="right"/>
            </w:pPr>
            <w:r/>
            <w:r>
              <w:rPr>
                <w:rFonts w:ascii="Arial" w:hAnsi="Arial"/>
                <w:b w:val="0"/>
                <w:sz w:val="19"/>
              </w:rPr>
              <w:t>$35,151</w:t>
            </w:r>
          </w:p>
        </w:tc>
        <w:tc>
          <w:tcPr>
            <w:tcW w:type="dxa" w:w="1512"/>
          </w:tcPr>
          <w:p>
            <w:pPr>
              <w:spacing w:after="40" w:before="40"/>
              <w:jc w:val="right"/>
            </w:pPr>
            <w:r/>
            <w:r>
              <w:rPr>
                <w:rFonts w:ascii="Arial" w:hAnsi="Arial"/>
                <w:b w:val="0"/>
                <w:sz w:val="19"/>
              </w:rPr>
              <w:t>$80,243</w:t>
            </w:r>
          </w:p>
        </w:tc>
        <w:tc>
          <w:tcPr>
            <w:tcW w:type="dxa" w:w="1512"/>
          </w:tcPr>
          <w:p>
            <w:pPr>
              <w:spacing w:after="40" w:before="40"/>
              <w:jc w:val="right"/>
            </w:pPr>
            <w:r/>
            <w:r>
              <w:rPr>
                <w:rFonts w:ascii="Arial" w:hAnsi="Arial"/>
                <w:b w:val="0"/>
                <w:sz w:val="19"/>
              </w:rPr>
              <w:t>$72,982</w:t>
            </w:r>
          </w:p>
        </w:tc>
        <w:tc>
          <w:tcPr>
            <w:tcW w:type="dxa" w:w="1512"/>
          </w:tcPr>
          <w:p>
            <w:pPr>
              <w:spacing w:after="40" w:before="40"/>
              <w:jc w:val="right"/>
            </w:pPr>
            <w:r/>
            <w:r>
              <w:rPr>
                <w:rFonts w:ascii="Arial" w:hAnsi="Arial"/>
                <w:b w:val="0"/>
                <w:sz w:val="19"/>
              </w:rPr>
              <w:t>$188,376</w:t>
            </w:r>
          </w:p>
        </w:tc>
      </w:tr>
      <w:tr>
        <w:tc>
          <w:tcPr>
            <w:tcW w:type="dxa" w:w="3744"/>
          </w:tcPr>
          <w:p>
            <w:pPr>
              <w:spacing w:after="40" w:before="40"/>
            </w:pPr>
            <w:r/>
            <w:r>
              <w:rPr>
                <w:rFonts w:ascii="Arial" w:hAnsi="Arial"/>
                <w:b w:val="0"/>
                <w:sz w:val="19"/>
              </w:rPr>
              <w:t>Operating reserve</w:t>
            </w:r>
          </w:p>
        </w:tc>
        <w:tc>
          <w:tcPr>
            <w:tcW w:type="dxa" w:w="1512"/>
          </w:tcPr>
          <w:p>
            <w:pPr>
              <w:spacing w:after="40" w:before="40"/>
              <w:jc w:val="right"/>
            </w:pPr>
            <w:r/>
            <w:r>
              <w:rPr>
                <w:rFonts w:ascii="Arial" w:hAnsi="Arial"/>
                <w:b w:val="0"/>
                <w:sz w:val="19"/>
              </w:rPr>
              <w:t>$75,686</w:t>
            </w:r>
          </w:p>
        </w:tc>
        <w:tc>
          <w:tcPr>
            <w:tcW w:type="dxa" w:w="1512"/>
          </w:tcPr>
          <w:p>
            <w:pPr>
              <w:spacing w:after="40" w:before="40"/>
              <w:jc w:val="right"/>
            </w:pPr>
            <w:r/>
            <w:r>
              <w:rPr>
                <w:rFonts w:ascii="Arial" w:hAnsi="Arial"/>
                <w:b w:val="0"/>
                <w:sz w:val="19"/>
              </w:rPr>
              <w:t>$81,485</w:t>
            </w:r>
          </w:p>
        </w:tc>
        <w:tc>
          <w:tcPr>
            <w:tcW w:type="dxa" w:w="1512"/>
          </w:tcPr>
          <w:p>
            <w:pPr>
              <w:spacing w:after="40" w:before="40"/>
              <w:jc w:val="right"/>
            </w:pPr>
            <w:r/>
            <w:r>
              <w:rPr>
                <w:rFonts w:ascii="Arial" w:hAnsi="Arial"/>
                <w:b w:val="0"/>
                <w:sz w:val="19"/>
              </w:rPr>
              <w:t>$74,007</w:t>
            </w:r>
          </w:p>
        </w:tc>
        <w:tc>
          <w:tcPr>
            <w:tcW w:type="dxa" w:w="1512"/>
          </w:tcPr>
          <w:p>
            <w:pPr>
              <w:spacing w:after="40" w:before="40"/>
              <w:jc w:val="right"/>
            </w:pPr>
            <w:r/>
            <w:r>
              <w:rPr>
                <w:rFonts w:ascii="Arial" w:hAnsi="Arial"/>
                <w:b w:val="0"/>
                <w:sz w:val="19"/>
              </w:rPr>
              <w:t>$231,178</w:t>
            </w:r>
          </w:p>
        </w:tc>
      </w:tr>
      <w:tr>
        <w:tc>
          <w:tcPr>
            <w:tcW w:type="dxa" w:w="3744"/>
          </w:tcPr>
          <w:p>
            <w:pPr>
              <w:spacing w:after="40" w:before="40"/>
            </w:pPr>
            <w:r/>
            <w:r>
              <w:rPr>
                <w:rFonts w:ascii="Arial" w:hAnsi="Arial"/>
                <w:b w:val="0"/>
                <w:sz w:val="19"/>
              </w:rPr>
              <w:t>Developer fee (50% deferred)</w:t>
            </w:r>
          </w:p>
        </w:tc>
        <w:tc>
          <w:tcPr>
            <w:tcW w:type="dxa" w:w="1512"/>
          </w:tcPr>
          <w:p>
            <w:pPr>
              <w:spacing w:after="40" w:before="40"/>
              <w:jc w:val="right"/>
            </w:pPr>
            <w:r/>
            <w:r>
              <w:rPr>
                <w:rFonts w:ascii="Arial" w:hAnsi="Arial"/>
                <w:b w:val="0"/>
                <w:sz w:val="19"/>
              </w:rPr>
              <w:t>$0</w:t>
            </w:r>
          </w:p>
        </w:tc>
        <w:tc>
          <w:tcPr>
            <w:tcW w:type="dxa" w:w="1512"/>
          </w:tcPr>
          <w:p>
            <w:pPr>
              <w:spacing w:after="40" w:before="40"/>
              <w:jc w:val="right"/>
            </w:pPr>
            <w:r/>
            <w:r>
              <w:rPr>
                <w:rFonts w:ascii="Arial" w:hAnsi="Arial"/>
                <w:b w:val="0"/>
                <w:sz w:val="19"/>
              </w:rPr>
              <w:t>$232,300</w:t>
            </w:r>
          </w:p>
        </w:tc>
        <w:tc>
          <w:tcPr>
            <w:tcW w:type="dxa" w:w="1512"/>
          </w:tcPr>
          <w:p>
            <w:pPr>
              <w:spacing w:after="40" w:before="40"/>
              <w:jc w:val="right"/>
            </w:pPr>
            <w:r/>
            <w:r>
              <w:rPr>
                <w:rFonts w:ascii="Arial" w:hAnsi="Arial"/>
                <w:b w:val="0"/>
                <w:sz w:val="19"/>
              </w:rPr>
              <w:t>$211,998</w:t>
            </w:r>
          </w:p>
        </w:tc>
        <w:tc>
          <w:tcPr>
            <w:tcW w:type="dxa" w:w="1512"/>
          </w:tcPr>
          <w:p>
            <w:pPr>
              <w:spacing w:after="40" w:before="40"/>
              <w:jc w:val="right"/>
            </w:pPr>
            <w:r/>
            <w:r>
              <w:rPr>
                <w:rFonts w:ascii="Arial" w:hAnsi="Arial"/>
                <w:b w:val="0"/>
                <w:sz w:val="19"/>
              </w:rPr>
              <w:t>$444,298</w:t>
            </w:r>
          </w:p>
        </w:tc>
      </w:tr>
      <w:tr>
        <w:tc>
          <w:tcPr>
            <w:tcW w:type="dxa" w:w="3744"/>
            <w:shd w:val="clear" w:fill="F2F2F2"/>
          </w:tcPr>
          <w:p>
            <w:pPr>
              <w:spacing w:after="40" w:before="40"/>
            </w:pPr>
            <w:r/>
            <w:r>
              <w:rPr>
                <w:rFonts w:ascii="Arial" w:hAnsi="Arial"/>
                <w:b/>
                <w:sz w:val="19"/>
              </w:rPr>
              <w:t>Total uses</w:t>
            </w:r>
          </w:p>
        </w:tc>
        <w:tc>
          <w:tcPr>
            <w:tcW w:type="dxa" w:w="1512"/>
            <w:shd w:val="clear" w:fill="F2F2F2"/>
          </w:tcPr>
          <w:p>
            <w:pPr>
              <w:spacing w:after="40" w:before="40"/>
              <w:jc w:val="right"/>
            </w:pPr>
            <w:r/>
            <w:r>
              <w:rPr>
                <w:rFonts w:ascii="Arial" w:hAnsi="Arial"/>
                <w:b/>
                <w:sz w:val="19"/>
              </w:rPr>
              <w:t>$2,071,780</w:t>
            </w:r>
          </w:p>
        </w:tc>
        <w:tc>
          <w:tcPr>
            <w:tcW w:type="dxa" w:w="1512"/>
            <w:shd w:val="clear" w:fill="F2F2F2"/>
          </w:tcPr>
          <w:p>
            <w:pPr>
              <w:spacing w:after="40" w:before="40"/>
              <w:jc w:val="right"/>
            </w:pPr>
            <w:r/>
            <w:r>
              <w:rPr>
                <w:rFonts w:ascii="Arial" w:hAnsi="Arial"/>
                <w:b/>
                <w:sz w:val="19"/>
              </w:rPr>
              <w:t>$3,293,546</w:t>
            </w:r>
          </w:p>
        </w:tc>
        <w:tc>
          <w:tcPr>
            <w:tcW w:type="dxa" w:w="1512"/>
            <w:shd w:val="clear" w:fill="F2F2F2"/>
          </w:tcPr>
          <w:p>
            <w:pPr>
              <w:spacing w:after="40" w:before="40"/>
              <w:jc w:val="right"/>
            </w:pPr>
            <w:r/>
            <w:r>
              <w:rPr>
                <w:rFonts w:ascii="Arial" w:hAnsi="Arial"/>
                <w:b/>
                <w:sz w:val="19"/>
              </w:rPr>
              <w:t>$2,872,477</w:t>
            </w:r>
          </w:p>
        </w:tc>
        <w:tc>
          <w:tcPr>
            <w:tcW w:type="dxa" w:w="1512"/>
            <w:shd w:val="clear" w:fill="F2F2F2"/>
          </w:tcPr>
          <w:p>
            <w:pPr>
              <w:spacing w:after="40" w:before="40"/>
              <w:jc w:val="right"/>
            </w:pPr>
            <w:r/>
            <w:r>
              <w:rPr>
                <w:rFonts w:ascii="Arial" w:hAnsi="Arial"/>
                <w:b/>
                <w:sz w:val="19"/>
              </w:rPr>
              <w:t>$8,237,803</w:t>
            </w:r>
          </w:p>
        </w:tc>
      </w:tr>
    </w:tbl>
    <w:p>
      <w:pPr>
        <w:spacing w:after="120" w:before="0"/>
      </w:pPr>
      <w:r>
        <w:rPr>
          <w:b w:val="0"/>
          <w:i w:val="0"/>
          <w:sz w:val="8"/>
        </w:rPr>
      </w:r>
    </w:p>
    <w:p>
      <w:pPr>
        <w:pStyle w:val="Heading2"/>
        <w:keepNext/>
        <w:spacing w:after="80" w:before="240"/>
      </w:pPr>
      <w:r>
        <w:rPr>
          <w:rFonts w:ascii="Arial" w:hAnsi="Arial"/>
          <w:b/>
          <w:i w:val="0"/>
          <w:color w:val="1F2A44"/>
          <w:sz w:val="23"/>
        </w:rPr>
        <w:t>Construction budget</w:t>
      </w:r>
    </w:p>
    <w:tbl>
      <w:tblPr>
        <w:tblStyle w:val="TableGrid"/>
        <w:tblW w:type="auto" w:w="0"/>
        <w:jc w:val="center"/>
        <w:tblLook w:firstColumn="1" w:firstRow="1" w:lastColumn="0" w:lastRow="0" w:noHBand="0" w:noVBand="1" w:val="04A0"/>
      </w:tblPr>
      <w:tblGrid>
        <w:gridCol w:w="1930"/>
        <w:gridCol w:w="1930"/>
        <w:gridCol w:w="1930"/>
        <w:gridCol w:w="1930"/>
        <w:gridCol w:w="1930"/>
      </w:tblGrid>
      <w:tr>
        <w:tc>
          <w:tcPr>
            <w:tcW w:type="dxa" w:w="3744"/>
            <w:shd w:val="clear" w:fill="1F2A44"/>
          </w:tcPr>
          <w:p>
            <w:r/>
            <w:r>
              <w:rPr>
                <w:rFonts w:ascii="Arial" w:hAnsi="Arial"/>
                <w:b/>
                <w:color w:val="FFFFFF"/>
                <w:sz w:val="18"/>
              </w:rPr>
              <w:t>Construction budget</w:t>
            </w:r>
          </w:p>
        </w:tc>
        <w:tc>
          <w:tcPr>
            <w:tcW w:type="dxa" w:w="1512"/>
            <w:shd w:val="clear" w:fill="1F2A44"/>
          </w:tcPr>
          <w:p>
            <w:pPr>
              <w:jc w:val="right"/>
            </w:pPr>
            <w:r/>
            <w:r>
              <w:rPr>
                <w:rFonts w:ascii="Arial" w:hAnsi="Arial"/>
                <w:b/>
                <w:color w:val="FFFFFF"/>
                <w:sz w:val="18"/>
              </w:rPr>
              <w:t>1816</w:t>
            </w:r>
          </w:p>
        </w:tc>
        <w:tc>
          <w:tcPr>
            <w:tcW w:type="dxa" w:w="1512"/>
            <w:shd w:val="clear" w:fill="1F2A44"/>
          </w:tcPr>
          <w:p>
            <w:pPr>
              <w:jc w:val="right"/>
            </w:pPr>
            <w:r/>
            <w:r>
              <w:rPr>
                <w:rFonts w:ascii="Arial" w:hAnsi="Arial"/>
                <w:b/>
                <w:color w:val="FFFFFF"/>
                <w:sz w:val="18"/>
              </w:rPr>
              <w:t>1818</w:t>
            </w:r>
          </w:p>
        </w:tc>
        <w:tc>
          <w:tcPr>
            <w:tcW w:type="dxa" w:w="1512"/>
            <w:shd w:val="clear" w:fill="1F2A44"/>
          </w:tcPr>
          <w:p>
            <w:pPr>
              <w:jc w:val="right"/>
            </w:pPr>
            <w:r/>
            <w:r>
              <w:rPr>
                <w:rFonts w:ascii="Arial" w:hAnsi="Arial"/>
                <w:b/>
                <w:color w:val="FFFFFF"/>
                <w:sz w:val="18"/>
              </w:rPr>
              <w:t>1820</w:t>
            </w:r>
          </w:p>
        </w:tc>
        <w:tc>
          <w:tcPr>
            <w:tcW w:type="dxa" w:w="1512"/>
            <w:shd w:val="clear" w:fill="1F2A44"/>
          </w:tcPr>
          <w:p>
            <w:pPr>
              <w:jc w:val="right"/>
            </w:pPr>
            <w:r/>
            <w:r>
              <w:rPr>
                <w:rFonts w:ascii="Arial" w:hAnsi="Arial"/>
                <w:b/>
                <w:color w:val="FFFFFF"/>
                <w:sz w:val="18"/>
              </w:rPr>
              <w:t>Total</w:t>
            </w:r>
          </w:p>
        </w:tc>
      </w:tr>
      <w:tr>
        <w:tc>
          <w:tcPr>
            <w:tcW w:type="dxa" w:w="3744"/>
          </w:tcPr>
          <w:p>
            <w:pPr>
              <w:spacing w:after="40" w:before="40"/>
            </w:pPr>
            <w:r/>
            <w:r>
              <w:rPr>
                <w:rFonts w:ascii="Arial" w:hAnsi="Arial"/>
                <w:b w:val="0"/>
                <w:sz w:val="18"/>
              </w:rPr>
              <w:t>Direct construction (trades, addition, façade, furnished package)</w:t>
            </w:r>
          </w:p>
        </w:tc>
        <w:tc>
          <w:tcPr>
            <w:tcW w:type="dxa" w:w="1512"/>
          </w:tcPr>
          <w:p>
            <w:pPr>
              <w:spacing w:after="40" w:before="40"/>
              <w:jc w:val="right"/>
            </w:pPr>
            <w:r/>
            <w:r>
              <w:rPr>
                <w:rFonts w:ascii="Arial" w:hAnsi="Arial"/>
                <w:b w:val="0"/>
                <w:sz w:val="18"/>
              </w:rPr>
              <w:t>$439,680</w:t>
            </w:r>
          </w:p>
        </w:tc>
        <w:tc>
          <w:tcPr>
            <w:tcW w:type="dxa" w:w="1512"/>
          </w:tcPr>
          <w:p>
            <w:pPr>
              <w:spacing w:after="40" w:before="40"/>
              <w:jc w:val="right"/>
            </w:pPr>
            <w:r/>
            <w:r>
              <w:rPr>
                <w:rFonts w:ascii="Arial" w:hAnsi="Arial"/>
                <w:b w:val="0"/>
                <w:sz w:val="18"/>
              </w:rPr>
              <w:t>$1,843,790</w:t>
            </w:r>
          </w:p>
        </w:tc>
        <w:tc>
          <w:tcPr>
            <w:tcW w:type="dxa" w:w="1512"/>
          </w:tcPr>
          <w:p>
            <w:pPr>
              <w:spacing w:after="40" w:before="40"/>
              <w:jc w:val="right"/>
            </w:pPr>
            <w:r/>
            <w:r>
              <w:rPr>
                <w:rFonts w:ascii="Arial" w:hAnsi="Arial"/>
                <w:b w:val="0"/>
                <w:sz w:val="18"/>
              </w:rPr>
              <w:t>$1,676,940</w:t>
            </w:r>
          </w:p>
        </w:tc>
        <w:tc>
          <w:tcPr>
            <w:tcW w:type="dxa" w:w="1512"/>
          </w:tcPr>
          <w:p>
            <w:pPr>
              <w:spacing w:after="40" w:before="40"/>
              <w:jc w:val="right"/>
            </w:pPr>
            <w:r/>
            <w:r>
              <w:rPr>
                <w:rFonts w:ascii="Arial" w:hAnsi="Arial"/>
                <w:b w:val="0"/>
                <w:sz w:val="18"/>
              </w:rPr>
              <w:t>$3,960,410</w:t>
            </w:r>
          </w:p>
        </w:tc>
      </w:tr>
      <w:tr>
        <w:tc>
          <w:tcPr>
            <w:tcW w:type="dxa" w:w="3744"/>
          </w:tcPr>
          <w:p>
            <w:pPr>
              <w:spacing w:after="40" w:before="40"/>
            </w:pPr>
            <w:r/>
            <w:r>
              <w:rPr>
                <w:rFonts w:ascii="Arial" w:hAnsi="Arial"/>
                <w:b w:val="0"/>
                <w:sz w:val="18"/>
              </w:rPr>
              <w:t>Cost escalation to midpoint (6%)</w:t>
            </w:r>
          </w:p>
        </w:tc>
        <w:tc>
          <w:tcPr>
            <w:tcW w:type="dxa" w:w="1512"/>
          </w:tcPr>
          <w:p>
            <w:pPr>
              <w:spacing w:after="40" w:before="40"/>
              <w:jc w:val="right"/>
            </w:pPr>
            <w:r/>
            <w:r>
              <w:rPr>
                <w:rFonts w:ascii="Arial" w:hAnsi="Arial"/>
                <w:b w:val="0"/>
                <w:sz w:val="18"/>
              </w:rPr>
              <w:t>$0</w:t>
            </w:r>
          </w:p>
        </w:tc>
        <w:tc>
          <w:tcPr>
            <w:tcW w:type="dxa" w:w="1512"/>
          </w:tcPr>
          <w:p>
            <w:pPr>
              <w:spacing w:after="40" w:before="40"/>
              <w:jc w:val="right"/>
            </w:pPr>
            <w:r/>
            <w:r>
              <w:rPr>
                <w:rFonts w:ascii="Arial" w:hAnsi="Arial"/>
                <w:b w:val="0"/>
                <w:sz w:val="18"/>
              </w:rPr>
              <w:t>$110,627</w:t>
            </w:r>
          </w:p>
        </w:tc>
        <w:tc>
          <w:tcPr>
            <w:tcW w:type="dxa" w:w="1512"/>
          </w:tcPr>
          <w:p>
            <w:pPr>
              <w:spacing w:after="40" w:before="40"/>
              <w:jc w:val="right"/>
            </w:pPr>
            <w:r/>
            <w:r>
              <w:rPr>
                <w:rFonts w:ascii="Arial" w:hAnsi="Arial"/>
                <w:b w:val="0"/>
                <w:sz w:val="18"/>
              </w:rPr>
              <w:t>$100,616</w:t>
            </w:r>
          </w:p>
        </w:tc>
        <w:tc>
          <w:tcPr>
            <w:tcW w:type="dxa" w:w="1512"/>
          </w:tcPr>
          <w:p>
            <w:pPr>
              <w:spacing w:after="40" w:before="40"/>
              <w:jc w:val="right"/>
            </w:pPr>
            <w:r/>
            <w:r>
              <w:rPr>
                <w:rFonts w:ascii="Arial" w:hAnsi="Arial"/>
                <w:b w:val="0"/>
                <w:sz w:val="18"/>
              </w:rPr>
              <w:t>$211,244</w:t>
            </w:r>
          </w:p>
        </w:tc>
      </w:tr>
      <w:tr>
        <w:tc>
          <w:tcPr>
            <w:tcW w:type="dxa" w:w="3744"/>
          </w:tcPr>
          <w:p>
            <w:pPr>
              <w:spacing w:after="40" w:before="40"/>
            </w:pPr>
            <w:r/>
            <w:r>
              <w:rPr>
                <w:rFonts w:ascii="Arial" w:hAnsi="Arial"/>
                <w:b w:val="0"/>
                <w:sz w:val="18"/>
              </w:rPr>
              <w:t>GC overhead &amp; profit (8%, Tyjuan Amor LLC, disclosed)</w:t>
            </w:r>
          </w:p>
        </w:tc>
        <w:tc>
          <w:tcPr>
            <w:tcW w:type="dxa" w:w="1512"/>
          </w:tcPr>
          <w:p>
            <w:pPr>
              <w:spacing w:after="40" w:before="40"/>
              <w:jc w:val="right"/>
            </w:pPr>
            <w:r/>
            <w:r>
              <w:rPr>
                <w:rFonts w:ascii="Arial" w:hAnsi="Arial"/>
                <w:b w:val="0"/>
                <w:sz w:val="18"/>
              </w:rPr>
              <w:t>$0</w:t>
            </w:r>
          </w:p>
        </w:tc>
        <w:tc>
          <w:tcPr>
            <w:tcW w:type="dxa" w:w="1512"/>
          </w:tcPr>
          <w:p>
            <w:pPr>
              <w:spacing w:after="40" w:before="40"/>
              <w:jc w:val="right"/>
            </w:pPr>
            <w:r/>
            <w:r>
              <w:rPr>
                <w:rFonts w:ascii="Arial" w:hAnsi="Arial"/>
                <w:b w:val="0"/>
                <w:sz w:val="18"/>
              </w:rPr>
              <w:t>$156,353</w:t>
            </w:r>
          </w:p>
        </w:tc>
        <w:tc>
          <w:tcPr>
            <w:tcW w:type="dxa" w:w="1512"/>
          </w:tcPr>
          <w:p>
            <w:pPr>
              <w:spacing w:after="40" w:before="40"/>
              <w:jc w:val="right"/>
            </w:pPr>
            <w:r/>
            <w:r>
              <w:rPr>
                <w:rFonts w:ascii="Arial" w:hAnsi="Arial"/>
                <w:b w:val="0"/>
                <w:sz w:val="18"/>
              </w:rPr>
              <w:t>$142,205</w:t>
            </w:r>
          </w:p>
        </w:tc>
        <w:tc>
          <w:tcPr>
            <w:tcW w:type="dxa" w:w="1512"/>
          </w:tcPr>
          <w:p>
            <w:pPr>
              <w:spacing w:after="40" w:before="40"/>
              <w:jc w:val="right"/>
            </w:pPr>
            <w:r/>
            <w:r>
              <w:rPr>
                <w:rFonts w:ascii="Arial" w:hAnsi="Arial"/>
                <w:b w:val="0"/>
                <w:sz w:val="18"/>
              </w:rPr>
              <w:t>$298,558</w:t>
            </w:r>
          </w:p>
        </w:tc>
      </w:tr>
      <w:tr>
        <w:tc>
          <w:tcPr>
            <w:tcW w:type="dxa" w:w="3744"/>
          </w:tcPr>
          <w:p>
            <w:pPr>
              <w:spacing w:after="40" w:before="40"/>
            </w:pPr>
            <w:r/>
            <w:r>
              <w:rPr>
                <w:rFonts w:ascii="Arial" w:hAnsi="Arial"/>
                <w:b w:val="0"/>
                <w:sz w:val="18"/>
              </w:rPr>
              <w:t>Hard cost contingency (12.5%; 10% on 1816)</w:t>
            </w:r>
          </w:p>
        </w:tc>
        <w:tc>
          <w:tcPr>
            <w:tcW w:type="dxa" w:w="1512"/>
          </w:tcPr>
          <w:p>
            <w:pPr>
              <w:spacing w:after="40" w:before="40"/>
              <w:jc w:val="right"/>
            </w:pPr>
            <w:r/>
            <w:r>
              <w:rPr>
                <w:rFonts w:ascii="Arial" w:hAnsi="Arial"/>
                <w:b w:val="0"/>
                <w:sz w:val="18"/>
              </w:rPr>
              <w:t>$43,968</w:t>
            </w:r>
          </w:p>
        </w:tc>
        <w:tc>
          <w:tcPr>
            <w:tcW w:type="dxa" w:w="1512"/>
          </w:tcPr>
          <w:p>
            <w:pPr>
              <w:spacing w:after="40" w:before="40"/>
              <w:jc w:val="right"/>
            </w:pPr>
            <w:r/>
            <w:r>
              <w:rPr>
                <w:rFonts w:ascii="Arial" w:hAnsi="Arial"/>
                <w:b w:val="0"/>
                <w:sz w:val="18"/>
              </w:rPr>
              <w:t>$263,846</w:t>
            </w:r>
          </w:p>
        </w:tc>
        <w:tc>
          <w:tcPr>
            <w:tcW w:type="dxa" w:w="1512"/>
          </w:tcPr>
          <w:p>
            <w:pPr>
              <w:spacing w:after="40" w:before="40"/>
              <w:jc w:val="right"/>
            </w:pPr>
            <w:r/>
            <w:r>
              <w:rPr>
                <w:rFonts w:ascii="Arial" w:hAnsi="Arial"/>
                <w:b w:val="0"/>
                <w:sz w:val="18"/>
              </w:rPr>
              <w:t>$239,970</w:t>
            </w:r>
          </w:p>
        </w:tc>
        <w:tc>
          <w:tcPr>
            <w:tcW w:type="dxa" w:w="1512"/>
          </w:tcPr>
          <w:p>
            <w:pPr>
              <w:spacing w:after="40" w:before="40"/>
              <w:jc w:val="right"/>
            </w:pPr>
            <w:r/>
            <w:r>
              <w:rPr>
                <w:rFonts w:ascii="Arial" w:hAnsi="Arial"/>
                <w:b w:val="0"/>
                <w:sz w:val="18"/>
              </w:rPr>
              <w:t>$547,784</w:t>
            </w:r>
          </w:p>
        </w:tc>
      </w:tr>
      <w:tr>
        <w:tc>
          <w:tcPr>
            <w:tcW w:type="dxa" w:w="3744"/>
            <w:shd w:val="clear" w:fill="F2F2F2"/>
          </w:tcPr>
          <w:p>
            <w:pPr>
              <w:spacing w:after="40" w:before="40"/>
            </w:pPr>
            <w:r/>
            <w:r>
              <w:rPr>
                <w:rFonts w:ascii="Arial" w:hAnsi="Arial"/>
                <w:b/>
                <w:sz w:val="18"/>
              </w:rPr>
              <w:t>Total hard costs</w:t>
            </w:r>
          </w:p>
        </w:tc>
        <w:tc>
          <w:tcPr>
            <w:tcW w:type="dxa" w:w="1512"/>
            <w:shd w:val="clear" w:fill="F2F2F2"/>
          </w:tcPr>
          <w:p>
            <w:pPr>
              <w:spacing w:after="40" w:before="40"/>
              <w:jc w:val="right"/>
            </w:pPr>
            <w:r/>
            <w:r>
              <w:rPr>
                <w:rFonts w:ascii="Arial" w:hAnsi="Arial"/>
                <w:b/>
                <w:sz w:val="18"/>
              </w:rPr>
              <w:t>$483,648</w:t>
            </w:r>
          </w:p>
        </w:tc>
        <w:tc>
          <w:tcPr>
            <w:tcW w:type="dxa" w:w="1512"/>
            <w:shd w:val="clear" w:fill="F2F2F2"/>
          </w:tcPr>
          <w:p>
            <w:pPr>
              <w:spacing w:after="40" w:before="40"/>
              <w:jc w:val="right"/>
            </w:pPr>
            <w:r/>
            <w:r>
              <w:rPr>
                <w:rFonts w:ascii="Arial" w:hAnsi="Arial"/>
                <w:b/>
                <w:sz w:val="18"/>
              </w:rPr>
              <w:t>$2,374,617</w:t>
            </w:r>
          </w:p>
        </w:tc>
        <w:tc>
          <w:tcPr>
            <w:tcW w:type="dxa" w:w="1512"/>
            <w:shd w:val="clear" w:fill="F2F2F2"/>
          </w:tcPr>
          <w:p>
            <w:pPr>
              <w:spacing w:after="40" w:before="40"/>
              <w:jc w:val="right"/>
            </w:pPr>
            <w:r/>
            <w:r>
              <w:rPr>
                <w:rFonts w:ascii="Arial" w:hAnsi="Arial"/>
                <w:b/>
                <w:sz w:val="18"/>
              </w:rPr>
              <w:t>$2,159,731</w:t>
            </w:r>
          </w:p>
        </w:tc>
        <w:tc>
          <w:tcPr>
            <w:tcW w:type="dxa" w:w="1512"/>
            <w:shd w:val="clear" w:fill="F2F2F2"/>
          </w:tcPr>
          <w:p>
            <w:pPr>
              <w:spacing w:after="40" w:before="40"/>
              <w:jc w:val="right"/>
            </w:pPr>
            <w:r/>
            <w:r>
              <w:rPr>
                <w:rFonts w:ascii="Arial" w:hAnsi="Arial"/>
                <w:b/>
                <w:sz w:val="18"/>
              </w:rPr>
              <w:t>$5,017,996</w:t>
            </w:r>
          </w:p>
        </w:tc>
      </w:tr>
      <w:tr>
        <w:tc>
          <w:tcPr>
            <w:tcW w:type="dxa" w:w="3744"/>
          </w:tcPr>
          <w:p>
            <w:pPr>
              <w:spacing w:after="40" w:before="40"/>
            </w:pPr>
            <w:r/>
            <w:r>
              <w:rPr>
                <w:rFonts w:ascii="Arial" w:hAnsi="Arial"/>
                <w:b w:val="0"/>
                <w:sz w:val="18"/>
              </w:rPr>
              <w:t>Soft costs (A&amp;E, permits, legal, insurance, reports, marketing, contingency)</w:t>
            </w:r>
          </w:p>
        </w:tc>
        <w:tc>
          <w:tcPr>
            <w:tcW w:type="dxa" w:w="1512"/>
          </w:tcPr>
          <w:p>
            <w:pPr>
              <w:spacing w:after="40" w:before="40"/>
              <w:jc w:val="right"/>
            </w:pPr>
            <w:r/>
            <w:r>
              <w:rPr>
                <w:rFonts w:ascii="Arial" w:hAnsi="Arial"/>
                <w:b w:val="0"/>
                <w:sz w:val="18"/>
              </w:rPr>
              <w:t>$31,000</w:t>
            </w:r>
          </w:p>
        </w:tc>
        <w:tc>
          <w:tcPr>
            <w:tcW w:type="dxa" w:w="1512"/>
          </w:tcPr>
          <w:p>
            <w:pPr>
              <w:spacing w:after="40" w:before="40"/>
              <w:jc w:val="right"/>
            </w:pPr>
            <w:r/>
            <w:r>
              <w:rPr>
                <w:rFonts w:ascii="Arial" w:hAnsi="Arial"/>
                <w:b w:val="0"/>
                <w:sz w:val="18"/>
              </w:rPr>
              <w:t>$284,901</w:t>
            </w:r>
          </w:p>
        </w:tc>
        <w:tc>
          <w:tcPr>
            <w:tcW w:type="dxa" w:w="1512"/>
          </w:tcPr>
          <w:p>
            <w:pPr>
              <w:spacing w:after="40" w:before="40"/>
              <w:jc w:val="right"/>
            </w:pPr>
            <w:r/>
            <w:r>
              <w:rPr>
                <w:rFonts w:ascii="Arial" w:hAnsi="Arial"/>
                <w:b w:val="0"/>
                <w:sz w:val="18"/>
              </w:rPr>
              <w:t>$260,758</w:t>
            </w:r>
          </w:p>
        </w:tc>
        <w:tc>
          <w:tcPr>
            <w:tcW w:type="dxa" w:w="1512"/>
          </w:tcPr>
          <w:p>
            <w:pPr>
              <w:spacing w:after="40" w:before="40"/>
              <w:jc w:val="right"/>
            </w:pPr>
            <w:r/>
            <w:r>
              <w:rPr>
                <w:rFonts w:ascii="Arial" w:hAnsi="Arial"/>
                <w:b w:val="0"/>
                <w:sz w:val="18"/>
              </w:rPr>
              <w:t>$576,659</w:t>
            </w:r>
          </w:p>
        </w:tc>
      </w:tr>
      <w:tr>
        <w:tc>
          <w:tcPr>
            <w:tcW w:type="dxa" w:w="3744"/>
          </w:tcPr>
          <w:p>
            <w:pPr>
              <w:spacing w:after="40" w:before="40"/>
            </w:pPr>
            <w:r/>
            <w:r>
              <w:rPr>
                <w:rFonts w:ascii="Arial" w:hAnsi="Arial"/>
                <w:b w:val="0"/>
                <w:sz w:val="18"/>
              </w:rPr>
              <w:t>Furniture, fixtures &amp; equipment</w:t>
            </w:r>
          </w:p>
        </w:tc>
        <w:tc>
          <w:tcPr>
            <w:tcW w:type="dxa" w:w="1512"/>
          </w:tcPr>
          <w:p>
            <w:pPr>
              <w:spacing w:after="40" w:before="40"/>
              <w:jc w:val="right"/>
            </w:pPr>
            <w:r/>
            <w:r>
              <w:rPr>
                <w:rFonts w:ascii="Arial" w:hAnsi="Arial"/>
                <w:b w:val="0"/>
                <w:sz w:val="18"/>
              </w:rPr>
              <w:t>$82,500</w:t>
            </w:r>
          </w:p>
        </w:tc>
        <w:tc>
          <w:tcPr>
            <w:tcW w:type="dxa" w:w="1512"/>
          </w:tcPr>
          <w:p>
            <w:pPr>
              <w:spacing w:after="40" w:before="40"/>
              <w:jc w:val="right"/>
            </w:pPr>
            <w:r/>
            <w:r>
              <w:rPr>
                <w:rFonts w:ascii="Arial" w:hAnsi="Arial"/>
                <w:b w:val="0"/>
                <w:sz w:val="18"/>
              </w:rPr>
              <w:t>$82,500</w:t>
            </w:r>
          </w:p>
        </w:tc>
        <w:tc>
          <w:tcPr>
            <w:tcW w:type="dxa" w:w="1512"/>
          </w:tcPr>
          <w:p>
            <w:pPr>
              <w:spacing w:after="40" w:before="40"/>
              <w:jc w:val="right"/>
            </w:pPr>
            <w:r/>
            <w:r>
              <w:rPr>
                <w:rFonts w:ascii="Arial" w:hAnsi="Arial"/>
                <w:b w:val="0"/>
                <w:sz w:val="18"/>
              </w:rPr>
              <w:t>$82,500</w:t>
            </w:r>
          </w:p>
        </w:tc>
        <w:tc>
          <w:tcPr>
            <w:tcW w:type="dxa" w:w="1512"/>
          </w:tcPr>
          <w:p>
            <w:pPr>
              <w:spacing w:after="40" w:before="40"/>
              <w:jc w:val="right"/>
            </w:pPr>
            <w:r/>
            <w:r>
              <w:rPr>
                <w:rFonts w:ascii="Arial" w:hAnsi="Arial"/>
                <w:b w:val="0"/>
                <w:sz w:val="18"/>
              </w:rPr>
              <w:t>$247,500</w:t>
            </w:r>
          </w:p>
        </w:tc>
      </w:tr>
    </w:tbl>
    <w:p>
      <w:pPr>
        <w:spacing w:after="200" w:before="0"/>
      </w:pPr>
      <w:r>
        <w:rPr>
          <w:b w:val="0"/>
          <w:i/>
          <w:color w:val="595959"/>
          <w:sz w:val="17"/>
        </w:rPr>
        <w:t>1818 and 1820 hard costs run ≈$343 per gross SF all-in. Benchmarks: DHCD rehab cost limits of $202–$277/SF before contingency, and 1816's actual bids. Soft costs are 7% A&amp;E, 1.5% permits, 1% legal and 1.2% builder's risk, plus reports, marketing and a 5% contingency.</w:t>
      </w:r>
    </w:p>
    <w:p>
      <w:pPr>
        <w:pStyle w:val="Heading2"/>
        <w:keepNext/>
        <w:spacing w:after="80" w:before="240"/>
      </w:pPr>
      <w:r>
        <w:rPr>
          <w:rFonts w:ascii="Arial" w:hAnsi="Arial"/>
          <w:b/>
          <w:i w:val="0"/>
          <w:color w:val="1F2A44"/>
          <w:sz w:val="23"/>
        </w:rPr>
        <w:t>Notes on individual lines</w:t>
      </w:r>
    </w:p>
    <w:p>
      <w:pPr>
        <w:pStyle w:val="ListBullet"/>
        <w:spacing w:after="60"/>
      </w:pPr>
      <w:r>
        <w:rPr>
          <w:rFonts w:ascii="Arial" w:hAnsi="Arial"/>
          <w:sz w:val="21"/>
        </w:rPr>
        <w:t>Acquisition: 1816 was bought for $300,000 (court-ratified). 1818 cost $150,000 at the March 6, 2026 trustee's sale and is already funded. The offer for 1820 is $3,000; section 8 explains why.</w:t>
      </w:r>
    </w:p>
    <w:p>
      <w:pPr>
        <w:pStyle w:val="ListBullet"/>
        <w:spacing w:after="60"/>
      </w:pPr>
      <w:r>
        <w:rPr>
          <w:rFonts w:ascii="Arial" w:hAnsi="Arial"/>
          <w:sz w:val="21"/>
        </w:rPr>
        <w:t>Work and carrying costs to date at 1816 — $797,000 of design and construction and $230,744 of carry — are sponsor-funded and are shown as both a use and a source.</w:t>
      </w:r>
    </w:p>
    <w:p>
      <w:pPr>
        <w:pStyle w:val="ListBullet"/>
        <w:spacing w:after="60"/>
      </w:pPr>
      <w:r>
        <w:rPr>
          <w:rFonts w:ascii="Arial" w:hAnsi="Arial"/>
          <w:sz w:val="21"/>
        </w:rPr>
        <w:t>Financing costs are the NIIF origination fee (1.5%) and construction-period interest on an average draw of 55% over 18 interest-only months, plus 1816's hard-money charges and refinance cost.</w:t>
      </w:r>
    </w:p>
    <w:p>
      <w:pPr>
        <w:pStyle w:val="ListBullet"/>
        <w:spacing w:after="60"/>
      </w:pPr>
      <w:r>
        <w:rPr>
          <w:rFonts w:ascii="Arial" w:hAnsi="Arial"/>
          <w:sz w:val="21"/>
        </w:rPr>
        <w:t>The operating reserve is 6 months of operating expenses and debt service, the NIIF and CDFI standard.</w:t>
      </w:r>
    </w:p>
    <w:p>
      <w:pPr>
        <w:pStyle w:val="ListBullet"/>
        <w:spacing w:after="60"/>
      </w:pPr>
      <w:r>
        <w:rPr>
          <w:rFonts w:ascii="Arial" w:hAnsi="Arial"/>
          <w:sz w:val="21"/>
        </w:rPr>
        <w:t>The developer fee is 8% of Phase 2 cost excluding acquisition — below the usual 10–15% cap — and 50% of it is deferred and repaid out of cash flow.</w:t>
      </w:r>
    </w:p>
    <w:p>
      <w:pPr>
        <w:pStyle w:val="Heading1"/>
        <w:keepNext/>
        <w:spacing w:after="120" w:before="320"/>
      </w:pPr>
      <w:r>
        <w:rPr>
          <w:rFonts w:ascii="Arial" w:hAnsi="Arial"/>
          <w:b/>
          <w:i w:val="0"/>
          <w:color w:val="1F2A44"/>
          <w:sz w:val="30"/>
        </w:rPr>
        <w:t>4. Sources of funds</w:t>
      </w:r>
    </w:p>
    <w:p>
      <w:pPr>
        <w:pStyle w:val="Heading2"/>
        <w:keepNext/>
        <w:spacing w:after="80" w:before="240"/>
      </w:pPr>
      <w:r>
        <w:rPr>
          <w:rFonts w:ascii="Arial" w:hAnsi="Arial"/>
          <w:b/>
          <w:i w:val="0"/>
          <w:color w:val="1F2A44"/>
          <w:sz w:val="23"/>
        </w:rPr>
        <w:t>Phase 2 — 1818 + 1820</w:t>
      </w:r>
    </w:p>
    <w:tbl>
      <w:tblPr>
        <w:tblStyle w:val="TableGrid"/>
        <w:tblW w:type="auto" w:w="0"/>
        <w:jc w:val="center"/>
        <w:tblLook w:firstColumn="1" w:firstRow="1" w:lastColumn="0" w:lastRow="0" w:noHBand="0" w:noVBand="1" w:val="04A0"/>
      </w:tblPr>
      <w:tblGrid>
        <w:gridCol w:w="1930"/>
        <w:gridCol w:w="1930"/>
        <w:gridCol w:w="1930"/>
        <w:gridCol w:w="1930"/>
        <w:gridCol w:w="1930"/>
      </w:tblGrid>
      <w:tr>
        <w:tc>
          <w:tcPr>
            <w:tcW w:type="dxa" w:w="3384"/>
            <w:shd w:val="clear" w:fill="1F2A44"/>
          </w:tcPr>
          <w:p>
            <w:r/>
            <w:r>
              <w:rPr>
                <w:rFonts w:ascii="Arial" w:hAnsi="Arial"/>
                <w:b/>
                <w:color w:val="FFFFFF"/>
                <w:sz w:val="17"/>
              </w:rPr>
              <w:t>Source</w:t>
            </w:r>
          </w:p>
        </w:tc>
        <w:tc>
          <w:tcPr>
            <w:tcW w:type="dxa" w:w="1368"/>
            <w:shd w:val="clear" w:fill="1F2A44"/>
          </w:tcPr>
          <w:p>
            <w:pPr>
              <w:jc w:val="right"/>
            </w:pPr>
            <w:r/>
            <w:r>
              <w:rPr>
                <w:rFonts w:ascii="Arial" w:hAnsi="Arial"/>
                <w:b/>
                <w:color w:val="FFFFFF"/>
                <w:sz w:val="17"/>
              </w:rPr>
              <w:t>Amount</w:t>
            </w:r>
          </w:p>
        </w:tc>
        <w:tc>
          <w:tcPr>
            <w:tcW w:type="dxa" w:w="1008"/>
            <w:shd w:val="clear" w:fill="1F2A44"/>
          </w:tcPr>
          <w:p>
            <w:pPr>
              <w:jc w:val="right"/>
            </w:pPr>
            <w:r/>
            <w:r>
              <w:rPr>
                <w:rFonts w:ascii="Arial" w:hAnsi="Arial"/>
                <w:b/>
                <w:color w:val="FFFFFF"/>
                <w:sz w:val="17"/>
              </w:rPr>
              <w:t>% of phase</w:t>
            </w:r>
          </w:p>
        </w:tc>
        <w:tc>
          <w:tcPr>
            <w:tcW w:type="dxa" w:w="2448"/>
            <w:shd w:val="clear" w:fill="1F2A44"/>
          </w:tcPr>
          <w:p>
            <w:r/>
            <w:r>
              <w:rPr>
                <w:rFonts w:ascii="Arial" w:hAnsi="Arial"/>
                <w:b/>
                <w:color w:val="FFFFFF"/>
                <w:sz w:val="17"/>
              </w:rPr>
              <w:t>Status</w:t>
            </w:r>
          </w:p>
        </w:tc>
        <w:tc>
          <w:tcPr>
            <w:tcW w:type="dxa" w:w="1440"/>
            <w:shd w:val="clear" w:fill="1F2A44"/>
          </w:tcPr>
          <w:p>
            <w:r/>
            <w:r>
              <w:rPr>
                <w:rFonts w:ascii="Arial" w:hAnsi="Arial"/>
                <w:b/>
                <w:color w:val="FFFFFF"/>
                <w:sz w:val="17"/>
              </w:rPr>
              <w:t>Type</w:t>
            </w:r>
          </w:p>
        </w:tc>
      </w:tr>
      <w:tr>
        <w:tc>
          <w:tcPr>
            <w:tcW w:type="dxa" w:w="3384"/>
          </w:tcPr>
          <w:p>
            <w:pPr>
              <w:spacing w:after="40" w:before="40"/>
            </w:pPr>
            <w:r/>
            <w:r>
              <w:rPr>
                <w:rFonts w:ascii="Arial" w:hAnsi="Arial"/>
                <w:b w:val="0"/>
                <w:sz w:val="17"/>
              </w:rPr>
              <w:t>NIIF senior construction-to-permanent loan</w:t>
            </w:r>
          </w:p>
        </w:tc>
        <w:tc>
          <w:tcPr>
            <w:tcW w:type="dxa" w:w="1368"/>
          </w:tcPr>
          <w:p>
            <w:pPr>
              <w:spacing w:after="40" w:before="40"/>
              <w:jc w:val="right"/>
            </w:pPr>
            <w:r/>
            <w:r>
              <w:rPr>
                <w:rFonts w:ascii="Arial" w:hAnsi="Arial"/>
                <w:b w:val="0"/>
                <w:sz w:val="17"/>
              </w:rPr>
              <w:t>$2,724,000</w:t>
            </w:r>
          </w:p>
        </w:tc>
        <w:tc>
          <w:tcPr>
            <w:tcW w:type="dxa" w:w="1008"/>
          </w:tcPr>
          <w:p>
            <w:pPr>
              <w:spacing w:after="40" w:before="40"/>
              <w:jc w:val="right"/>
            </w:pPr>
            <w:r/>
            <w:r>
              <w:rPr>
                <w:rFonts w:ascii="Arial" w:hAnsi="Arial"/>
                <w:b w:val="0"/>
                <w:sz w:val="17"/>
              </w:rPr>
              <w:t>44.2%</w:t>
            </w:r>
          </w:p>
        </w:tc>
        <w:tc>
          <w:tcPr>
            <w:tcW w:type="dxa" w:w="2448"/>
          </w:tcPr>
          <w:p>
            <w:pPr>
              <w:spacing w:after="40" w:before="40"/>
            </w:pPr>
            <w:r/>
            <w:r>
              <w:rPr>
                <w:rFonts w:ascii="Arial" w:hAnsi="Arial"/>
                <w:b w:val="0"/>
                <w:sz w:val="17"/>
              </w:rPr>
              <w:t>Requested – NIIF underwriting</w:t>
            </w:r>
          </w:p>
        </w:tc>
        <w:tc>
          <w:tcPr>
            <w:tcW w:type="dxa" w:w="1440"/>
          </w:tcPr>
          <w:p>
            <w:pPr>
              <w:spacing w:after="40" w:before="40"/>
            </w:pPr>
            <w:r/>
            <w:r>
              <w:rPr>
                <w:rFonts w:ascii="Arial" w:hAnsi="Arial"/>
                <w:b w:val="0"/>
                <w:sz w:val="17"/>
              </w:rPr>
              <w:t>Debt</w:t>
            </w:r>
          </w:p>
        </w:tc>
      </w:tr>
      <w:tr>
        <w:tc>
          <w:tcPr>
            <w:tcW w:type="dxa" w:w="3384"/>
          </w:tcPr>
          <w:p>
            <w:pPr>
              <w:spacing w:after="40" w:before="40"/>
            </w:pPr>
            <w:r/>
            <w:r>
              <w:rPr>
                <w:rFonts w:ascii="Arial" w:hAnsi="Arial"/>
                <w:b w:val="0"/>
                <w:sz w:val="17"/>
              </w:rPr>
              <w:t>Sponsor cash equity (personal funds)</w:t>
            </w:r>
          </w:p>
        </w:tc>
        <w:tc>
          <w:tcPr>
            <w:tcW w:type="dxa" w:w="1368"/>
          </w:tcPr>
          <w:p>
            <w:pPr>
              <w:spacing w:after="40" w:before="40"/>
              <w:jc w:val="right"/>
            </w:pPr>
            <w:r/>
            <w:r>
              <w:rPr>
                <w:rFonts w:ascii="Arial" w:hAnsi="Arial"/>
                <w:b w:val="0"/>
                <w:sz w:val="17"/>
              </w:rPr>
              <w:t>$200,000</w:t>
            </w:r>
          </w:p>
        </w:tc>
        <w:tc>
          <w:tcPr>
            <w:tcW w:type="dxa" w:w="1008"/>
          </w:tcPr>
          <w:p>
            <w:pPr>
              <w:spacing w:after="40" w:before="40"/>
              <w:jc w:val="right"/>
            </w:pPr>
            <w:r/>
            <w:r>
              <w:rPr>
                <w:rFonts w:ascii="Arial" w:hAnsi="Arial"/>
                <w:b w:val="0"/>
                <w:sz w:val="17"/>
              </w:rPr>
              <w:t>3.2%</w:t>
            </w:r>
          </w:p>
        </w:tc>
        <w:tc>
          <w:tcPr>
            <w:tcW w:type="dxa" w:w="2448"/>
          </w:tcPr>
          <w:p>
            <w:pPr>
              <w:spacing w:after="40" w:before="40"/>
            </w:pPr>
            <w:r/>
            <w:r>
              <w:rPr>
                <w:rFonts w:ascii="Arial" w:hAnsi="Arial"/>
                <w:b w:val="0"/>
                <w:sz w:val="17"/>
              </w:rPr>
              <w:t>Committed – proof of funds</w:t>
            </w:r>
          </w:p>
        </w:tc>
        <w:tc>
          <w:tcPr>
            <w:tcW w:type="dxa" w:w="1440"/>
          </w:tcPr>
          <w:p>
            <w:pPr>
              <w:spacing w:after="40" w:before="40"/>
            </w:pPr>
            <w:r/>
            <w:r>
              <w:rPr>
                <w:rFonts w:ascii="Arial" w:hAnsi="Arial"/>
                <w:b w:val="0"/>
                <w:sz w:val="17"/>
              </w:rPr>
              <w:t>Equity</w:t>
            </w:r>
          </w:p>
        </w:tc>
      </w:tr>
      <w:tr>
        <w:tc>
          <w:tcPr>
            <w:tcW w:type="dxa" w:w="3384"/>
          </w:tcPr>
          <w:p>
            <w:pPr>
              <w:spacing w:after="40" w:before="40"/>
            </w:pPr>
            <w:r/>
            <w:r>
              <w:rPr>
                <w:rFonts w:ascii="Arial" w:hAnsi="Arial"/>
                <w:b w:val="0"/>
                <w:sz w:val="17"/>
              </w:rPr>
              <w:t>Sponsor land equity – 1818 (acquired Mar 2026)</w:t>
            </w:r>
          </w:p>
        </w:tc>
        <w:tc>
          <w:tcPr>
            <w:tcW w:type="dxa" w:w="1368"/>
          </w:tcPr>
          <w:p>
            <w:pPr>
              <w:spacing w:after="40" w:before="40"/>
              <w:jc w:val="right"/>
            </w:pPr>
            <w:r/>
            <w:r>
              <w:rPr>
                <w:rFonts w:ascii="Arial" w:hAnsi="Arial"/>
                <w:b w:val="0"/>
                <w:sz w:val="17"/>
              </w:rPr>
              <w:t>$150,000</w:t>
            </w:r>
          </w:p>
        </w:tc>
        <w:tc>
          <w:tcPr>
            <w:tcW w:type="dxa" w:w="1008"/>
          </w:tcPr>
          <w:p>
            <w:pPr>
              <w:spacing w:after="40" w:before="40"/>
              <w:jc w:val="right"/>
            </w:pPr>
            <w:r/>
            <w:r>
              <w:rPr>
                <w:rFonts w:ascii="Arial" w:hAnsi="Arial"/>
                <w:b w:val="0"/>
                <w:sz w:val="17"/>
              </w:rPr>
              <w:t>2.4%</w:t>
            </w:r>
          </w:p>
        </w:tc>
        <w:tc>
          <w:tcPr>
            <w:tcW w:type="dxa" w:w="2448"/>
          </w:tcPr>
          <w:p>
            <w:pPr>
              <w:spacing w:after="40" w:before="40"/>
            </w:pPr>
            <w:r/>
            <w:r>
              <w:rPr>
                <w:rFonts w:ascii="Arial" w:hAnsi="Arial"/>
                <w:b w:val="0"/>
                <w:sz w:val="17"/>
              </w:rPr>
              <w:t>Funded</w:t>
            </w:r>
          </w:p>
        </w:tc>
        <w:tc>
          <w:tcPr>
            <w:tcW w:type="dxa" w:w="1440"/>
          </w:tcPr>
          <w:p>
            <w:pPr>
              <w:spacing w:after="40" w:before="40"/>
            </w:pPr>
            <w:r/>
            <w:r>
              <w:rPr>
                <w:rFonts w:ascii="Arial" w:hAnsi="Arial"/>
                <w:b w:val="0"/>
                <w:sz w:val="17"/>
              </w:rPr>
              <w:t>Equity</w:t>
            </w:r>
          </w:p>
        </w:tc>
      </w:tr>
      <w:tr>
        <w:tc>
          <w:tcPr>
            <w:tcW w:type="dxa" w:w="3384"/>
          </w:tcPr>
          <w:p>
            <w:pPr>
              <w:spacing w:after="40" w:before="40"/>
            </w:pPr>
            <w:r/>
            <w:r>
              <w:rPr>
                <w:rFonts w:ascii="Arial" w:hAnsi="Arial"/>
                <w:b w:val="0"/>
                <w:sz w:val="17"/>
              </w:rPr>
              <w:t>Deferred developer fee</w:t>
            </w:r>
          </w:p>
        </w:tc>
        <w:tc>
          <w:tcPr>
            <w:tcW w:type="dxa" w:w="1368"/>
          </w:tcPr>
          <w:p>
            <w:pPr>
              <w:spacing w:after="40" w:before="40"/>
              <w:jc w:val="right"/>
            </w:pPr>
            <w:r/>
            <w:r>
              <w:rPr>
                <w:rFonts w:ascii="Arial" w:hAnsi="Arial"/>
                <w:b w:val="0"/>
                <w:sz w:val="17"/>
              </w:rPr>
              <w:t>$222,149</w:t>
            </w:r>
          </w:p>
        </w:tc>
        <w:tc>
          <w:tcPr>
            <w:tcW w:type="dxa" w:w="1008"/>
          </w:tcPr>
          <w:p>
            <w:pPr>
              <w:spacing w:after="40" w:before="40"/>
              <w:jc w:val="right"/>
            </w:pPr>
            <w:r/>
            <w:r>
              <w:rPr>
                <w:rFonts w:ascii="Arial" w:hAnsi="Arial"/>
                <w:b w:val="0"/>
                <w:sz w:val="17"/>
              </w:rPr>
              <w:t>3.6%</w:t>
            </w:r>
          </w:p>
        </w:tc>
        <w:tc>
          <w:tcPr>
            <w:tcW w:type="dxa" w:w="2448"/>
          </w:tcPr>
          <w:p>
            <w:pPr>
              <w:spacing w:after="40" w:before="40"/>
            </w:pPr>
            <w:r/>
            <w:r>
              <w:rPr>
                <w:rFonts w:ascii="Arial" w:hAnsi="Arial"/>
                <w:b w:val="0"/>
                <w:sz w:val="17"/>
              </w:rPr>
              <w:t>Committed by sponsor</w:t>
            </w:r>
          </w:p>
        </w:tc>
        <w:tc>
          <w:tcPr>
            <w:tcW w:type="dxa" w:w="1440"/>
          </w:tcPr>
          <w:p>
            <w:pPr>
              <w:spacing w:after="40" w:before="40"/>
            </w:pPr>
            <w:r/>
            <w:r>
              <w:rPr>
                <w:rFonts w:ascii="Arial" w:hAnsi="Arial"/>
                <w:b w:val="0"/>
                <w:sz w:val="17"/>
              </w:rPr>
              <w:t>Equity</w:t>
            </w:r>
          </w:p>
        </w:tc>
      </w:tr>
      <w:tr>
        <w:tc>
          <w:tcPr>
            <w:tcW w:type="dxa" w:w="3384"/>
          </w:tcPr>
          <w:p>
            <w:pPr>
              <w:spacing w:after="40" w:before="40"/>
            </w:pPr>
            <w:r/>
            <w:r>
              <w:rPr>
                <w:rFonts w:ascii="Arial" w:hAnsi="Arial"/>
                <w:b w:val="0"/>
                <w:sz w:val="17"/>
              </w:rPr>
              <w:t>MD Legislative Bond Initiative – 2027 session</w:t>
            </w:r>
          </w:p>
        </w:tc>
        <w:tc>
          <w:tcPr>
            <w:tcW w:type="dxa" w:w="1368"/>
          </w:tcPr>
          <w:p>
            <w:pPr>
              <w:spacing w:after="40" w:before="40"/>
              <w:jc w:val="right"/>
            </w:pPr>
            <w:r/>
            <w:r>
              <w:rPr>
                <w:rFonts w:ascii="Arial" w:hAnsi="Arial"/>
                <w:b w:val="0"/>
                <w:sz w:val="17"/>
              </w:rPr>
              <w:t>$500,000</w:t>
            </w:r>
          </w:p>
        </w:tc>
        <w:tc>
          <w:tcPr>
            <w:tcW w:type="dxa" w:w="1008"/>
          </w:tcPr>
          <w:p>
            <w:pPr>
              <w:spacing w:after="40" w:before="40"/>
              <w:jc w:val="right"/>
            </w:pPr>
            <w:r/>
            <w:r>
              <w:rPr>
                <w:rFonts w:ascii="Arial" w:hAnsi="Arial"/>
                <w:b w:val="0"/>
                <w:sz w:val="17"/>
              </w:rPr>
              <w:t>8.1%</w:t>
            </w:r>
          </w:p>
        </w:tc>
        <w:tc>
          <w:tcPr>
            <w:tcW w:type="dxa" w:w="2448"/>
          </w:tcPr>
          <w:p>
            <w:pPr>
              <w:spacing w:after="40" w:before="40"/>
            </w:pPr>
            <w:r/>
            <w:r>
              <w:rPr>
                <w:rFonts w:ascii="Arial" w:hAnsi="Arial"/>
                <w:b w:val="0"/>
                <w:sz w:val="17"/>
              </w:rPr>
              <w:t>To be requested (District 40)</w:t>
            </w:r>
          </w:p>
        </w:tc>
        <w:tc>
          <w:tcPr>
            <w:tcW w:type="dxa" w:w="1440"/>
          </w:tcPr>
          <w:p>
            <w:pPr>
              <w:spacing w:after="40" w:before="40"/>
            </w:pPr>
            <w:r/>
            <w:r>
              <w:rPr>
                <w:rFonts w:ascii="Arial" w:hAnsi="Arial"/>
                <w:b w:val="0"/>
                <w:sz w:val="17"/>
              </w:rPr>
              <w:t>Grant</w:t>
            </w:r>
          </w:p>
        </w:tc>
      </w:tr>
      <w:tr>
        <w:tc>
          <w:tcPr>
            <w:tcW w:type="dxa" w:w="3384"/>
          </w:tcPr>
          <w:p>
            <w:pPr>
              <w:spacing w:after="40" w:before="40"/>
            </w:pPr>
            <w:r/>
            <w:r>
              <w:rPr>
                <w:rFonts w:ascii="Arial" w:hAnsi="Arial"/>
                <w:b w:val="0"/>
                <w:sz w:val="17"/>
              </w:rPr>
              <w:t>Federal Historic Tax Credit equity (20%)</w:t>
            </w:r>
          </w:p>
        </w:tc>
        <w:tc>
          <w:tcPr>
            <w:tcW w:type="dxa" w:w="1368"/>
          </w:tcPr>
          <w:p>
            <w:pPr>
              <w:spacing w:after="40" w:before="40"/>
              <w:jc w:val="right"/>
            </w:pPr>
            <w:r/>
            <w:r>
              <w:rPr>
                <w:rFonts w:ascii="Arial" w:hAnsi="Arial"/>
                <w:b w:val="0"/>
                <w:sz w:val="17"/>
              </w:rPr>
              <w:t>$438,000</w:t>
            </w:r>
          </w:p>
        </w:tc>
        <w:tc>
          <w:tcPr>
            <w:tcW w:type="dxa" w:w="1008"/>
          </w:tcPr>
          <w:p>
            <w:pPr>
              <w:spacing w:after="40" w:before="40"/>
              <w:jc w:val="right"/>
            </w:pPr>
            <w:r/>
            <w:r>
              <w:rPr>
                <w:rFonts w:ascii="Arial" w:hAnsi="Arial"/>
                <w:b w:val="0"/>
                <w:sz w:val="17"/>
              </w:rPr>
              <w:t>7.1%</w:t>
            </w:r>
          </w:p>
        </w:tc>
        <w:tc>
          <w:tcPr>
            <w:tcW w:type="dxa" w:w="2448"/>
          </w:tcPr>
          <w:p>
            <w:pPr>
              <w:spacing w:after="40" w:before="40"/>
            </w:pPr>
            <w:r/>
            <w:r>
              <w:rPr>
                <w:rFonts w:ascii="Arial" w:hAnsi="Arial"/>
                <w:b w:val="0"/>
                <w:sz w:val="17"/>
              </w:rPr>
              <w:t>Proposed – NPS Part 1–3</w:t>
            </w:r>
          </w:p>
        </w:tc>
        <w:tc>
          <w:tcPr>
            <w:tcW w:type="dxa" w:w="1440"/>
          </w:tcPr>
          <w:p>
            <w:pPr>
              <w:spacing w:after="40" w:before="40"/>
            </w:pPr>
            <w:r/>
            <w:r>
              <w:rPr>
                <w:rFonts w:ascii="Arial" w:hAnsi="Arial"/>
                <w:b w:val="0"/>
                <w:sz w:val="17"/>
              </w:rPr>
              <w:t>Tax credit equity</w:t>
            </w:r>
          </w:p>
        </w:tc>
      </w:tr>
      <w:tr>
        <w:tc>
          <w:tcPr>
            <w:tcW w:type="dxa" w:w="3384"/>
          </w:tcPr>
          <w:p>
            <w:pPr>
              <w:spacing w:after="40" w:before="40"/>
            </w:pPr>
            <w:r/>
            <w:r>
              <w:rPr>
                <w:rFonts w:ascii="Arial" w:hAnsi="Arial"/>
                <w:b w:val="0"/>
                <w:sz w:val="17"/>
              </w:rPr>
              <w:t>MD Historic Revitalization Tax Credit equity</w:t>
            </w:r>
          </w:p>
        </w:tc>
        <w:tc>
          <w:tcPr>
            <w:tcW w:type="dxa" w:w="1368"/>
          </w:tcPr>
          <w:p>
            <w:pPr>
              <w:spacing w:after="40" w:before="40"/>
              <w:jc w:val="right"/>
            </w:pPr>
            <w:r/>
            <w:r>
              <w:rPr>
                <w:rFonts w:ascii="Arial" w:hAnsi="Arial"/>
                <w:b w:val="0"/>
                <w:sz w:val="17"/>
              </w:rPr>
              <w:t>$438,000</w:t>
            </w:r>
          </w:p>
        </w:tc>
        <w:tc>
          <w:tcPr>
            <w:tcW w:type="dxa" w:w="1008"/>
          </w:tcPr>
          <w:p>
            <w:pPr>
              <w:spacing w:after="40" w:before="40"/>
              <w:jc w:val="right"/>
            </w:pPr>
            <w:r/>
            <w:r>
              <w:rPr>
                <w:rFonts w:ascii="Arial" w:hAnsi="Arial"/>
                <w:b w:val="0"/>
                <w:sz w:val="17"/>
              </w:rPr>
              <w:t>7.1%</w:t>
            </w:r>
          </w:p>
        </w:tc>
        <w:tc>
          <w:tcPr>
            <w:tcW w:type="dxa" w:w="2448"/>
          </w:tcPr>
          <w:p>
            <w:pPr>
              <w:spacing w:after="40" w:before="40"/>
            </w:pPr>
            <w:r/>
            <w:r>
              <w:rPr>
                <w:rFonts w:ascii="Arial" w:hAnsi="Arial"/>
                <w:b w:val="0"/>
                <w:sz w:val="17"/>
              </w:rPr>
              <w:t>Proposed – MHT competitive round</w:t>
            </w:r>
          </w:p>
        </w:tc>
        <w:tc>
          <w:tcPr>
            <w:tcW w:type="dxa" w:w="1440"/>
          </w:tcPr>
          <w:p>
            <w:pPr>
              <w:spacing w:after="40" w:before="40"/>
            </w:pPr>
            <w:r/>
            <w:r>
              <w:rPr>
                <w:rFonts w:ascii="Arial" w:hAnsi="Arial"/>
                <w:b w:val="0"/>
                <w:sz w:val="17"/>
              </w:rPr>
              <w:t>Tax credit equity</w:t>
            </w:r>
          </w:p>
        </w:tc>
      </w:tr>
      <w:tr>
        <w:tc>
          <w:tcPr>
            <w:tcW w:type="dxa" w:w="3384"/>
          </w:tcPr>
          <w:p>
            <w:pPr>
              <w:spacing w:after="40" w:before="40"/>
            </w:pPr>
            <w:r/>
            <w:r>
              <w:rPr>
                <w:rFonts w:ascii="Arial" w:hAnsi="Arial"/>
                <w:b w:val="0"/>
                <w:sz w:val="17"/>
              </w:rPr>
              <w:t>BDC Façade Improvement Grant</w:t>
            </w:r>
          </w:p>
        </w:tc>
        <w:tc>
          <w:tcPr>
            <w:tcW w:type="dxa" w:w="1368"/>
          </w:tcPr>
          <w:p>
            <w:pPr>
              <w:spacing w:after="40" w:before="40"/>
              <w:jc w:val="right"/>
            </w:pPr>
            <w:r/>
            <w:r>
              <w:rPr>
                <w:rFonts w:ascii="Arial" w:hAnsi="Arial"/>
                <w:b w:val="0"/>
                <w:sz w:val="17"/>
              </w:rPr>
              <w:t>$50,000</w:t>
            </w:r>
          </w:p>
        </w:tc>
        <w:tc>
          <w:tcPr>
            <w:tcW w:type="dxa" w:w="1008"/>
          </w:tcPr>
          <w:p>
            <w:pPr>
              <w:spacing w:after="40" w:before="40"/>
              <w:jc w:val="right"/>
            </w:pPr>
            <w:r/>
            <w:r>
              <w:rPr>
                <w:rFonts w:ascii="Arial" w:hAnsi="Arial"/>
                <w:b w:val="0"/>
                <w:sz w:val="17"/>
              </w:rPr>
              <w:t>0.8%</w:t>
            </w:r>
          </w:p>
        </w:tc>
        <w:tc>
          <w:tcPr>
            <w:tcW w:type="dxa" w:w="2448"/>
          </w:tcPr>
          <w:p>
            <w:pPr>
              <w:spacing w:after="40" w:before="40"/>
            </w:pPr>
            <w:r/>
            <w:r>
              <w:rPr>
                <w:rFonts w:ascii="Arial" w:hAnsi="Arial"/>
                <w:b w:val="0"/>
                <w:sz w:val="17"/>
              </w:rPr>
              <w:t>To be requested</w:t>
            </w:r>
          </w:p>
        </w:tc>
        <w:tc>
          <w:tcPr>
            <w:tcW w:type="dxa" w:w="1440"/>
          </w:tcPr>
          <w:p>
            <w:pPr>
              <w:spacing w:after="40" w:before="40"/>
            </w:pPr>
            <w:r/>
            <w:r>
              <w:rPr>
                <w:rFonts w:ascii="Arial" w:hAnsi="Arial"/>
                <w:b w:val="0"/>
                <w:sz w:val="17"/>
              </w:rPr>
              <w:t>Grant</w:t>
            </w:r>
          </w:p>
        </w:tc>
      </w:tr>
      <w:tr>
        <w:tc>
          <w:tcPr>
            <w:tcW w:type="dxa" w:w="3384"/>
          </w:tcPr>
          <w:p>
            <w:pPr>
              <w:spacing w:after="40" w:before="40"/>
            </w:pPr>
            <w:r/>
            <w:r>
              <w:rPr>
                <w:rFonts w:ascii="Arial" w:hAnsi="Arial"/>
                <w:b w:val="0"/>
                <w:sz w:val="17"/>
              </w:rPr>
              <w:t>DHCD BRNI – FY2029 round</w:t>
            </w:r>
          </w:p>
        </w:tc>
        <w:tc>
          <w:tcPr>
            <w:tcW w:type="dxa" w:w="1368"/>
          </w:tcPr>
          <w:p>
            <w:pPr>
              <w:spacing w:after="40" w:before="40"/>
              <w:jc w:val="right"/>
            </w:pPr>
            <w:r/>
            <w:r>
              <w:rPr>
                <w:rFonts w:ascii="Arial" w:hAnsi="Arial"/>
                <w:b w:val="0"/>
                <w:sz w:val="17"/>
              </w:rPr>
              <w:t>$150,000</w:t>
            </w:r>
          </w:p>
        </w:tc>
        <w:tc>
          <w:tcPr>
            <w:tcW w:type="dxa" w:w="1008"/>
          </w:tcPr>
          <w:p>
            <w:pPr>
              <w:spacing w:after="40" w:before="40"/>
              <w:jc w:val="right"/>
            </w:pPr>
            <w:r/>
            <w:r>
              <w:rPr>
                <w:rFonts w:ascii="Arial" w:hAnsi="Arial"/>
                <w:b w:val="0"/>
                <w:sz w:val="17"/>
              </w:rPr>
              <w:t>2.4%</w:t>
            </w:r>
          </w:p>
        </w:tc>
        <w:tc>
          <w:tcPr>
            <w:tcW w:type="dxa" w:w="2448"/>
          </w:tcPr>
          <w:p>
            <w:pPr>
              <w:spacing w:after="40" w:before="40"/>
            </w:pPr>
            <w:r/>
            <w:r>
              <w:rPr>
                <w:rFonts w:ascii="Arial" w:hAnsi="Arial"/>
                <w:b w:val="0"/>
                <w:sz w:val="17"/>
              </w:rPr>
              <w:t>To be requested (≈June 2027)</w:t>
            </w:r>
          </w:p>
        </w:tc>
        <w:tc>
          <w:tcPr>
            <w:tcW w:type="dxa" w:w="1440"/>
          </w:tcPr>
          <w:p>
            <w:pPr>
              <w:spacing w:after="40" w:before="40"/>
            </w:pPr>
            <w:r/>
            <w:r>
              <w:rPr>
                <w:rFonts w:ascii="Arial" w:hAnsi="Arial"/>
                <w:b w:val="0"/>
                <w:sz w:val="17"/>
              </w:rPr>
              <w:t>Grant</w:t>
            </w:r>
          </w:p>
        </w:tc>
      </w:tr>
      <w:tr>
        <w:tc>
          <w:tcPr>
            <w:tcW w:type="dxa" w:w="3384"/>
          </w:tcPr>
          <w:p>
            <w:pPr>
              <w:spacing w:after="40" w:before="40"/>
            </w:pPr>
            <w:r/>
            <w:r>
              <w:rPr>
                <w:rFonts w:ascii="Arial" w:hAnsi="Arial"/>
                <w:b w:val="0"/>
                <w:sz w:val="17"/>
              </w:rPr>
              <w:t>DHCD Strategic Demolition Fund / Project C.O.R.E. (via CDO partner)</w:t>
            </w:r>
          </w:p>
        </w:tc>
        <w:tc>
          <w:tcPr>
            <w:tcW w:type="dxa" w:w="1368"/>
          </w:tcPr>
          <w:p>
            <w:pPr>
              <w:spacing w:after="40" w:before="40"/>
              <w:jc w:val="right"/>
            </w:pPr>
            <w:r/>
            <w:r>
              <w:rPr>
                <w:rFonts w:ascii="Arial" w:hAnsi="Arial"/>
                <w:b w:val="0"/>
                <w:sz w:val="17"/>
              </w:rPr>
              <w:t>$250,000</w:t>
            </w:r>
          </w:p>
        </w:tc>
        <w:tc>
          <w:tcPr>
            <w:tcW w:type="dxa" w:w="1008"/>
          </w:tcPr>
          <w:p>
            <w:pPr>
              <w:spacing w:after="40" w:before="40"/>
              <w:jc w:val="right"/>
            </w:pPr>
            <w:r/>
            <w:r>
              <w:rPr>
                <w:rFonts w:ascii="Arial" w:hAnsi="Arial"/>
                <w:b w:val="0"/>
                <w:sz w:val="17"/>
              </w:rPr>
              <w:t>4.1%</w:t>
            </w:r>
          </w:p>
        </w:tc>
        <w:tc>
          <w:tcPr>
            <w:tcW w:type="dxa" w:w="2448"/>
          </w:tcPr>
          <w:p>
            <w:pPr>
              <w:spacing w:after="40" w:before="40"/>
            </w:pPr>
            <w:r/>
            <w:r>
              <w:rPr>
                <w:rFonts w:ascii="Arial" w:hAnsi="Arial"/>
                <w:b w:val="0"/>
                <w:sz w:val="17"/>
              </w:rPr>
              <w:t>To be requested with CBP</w:t>
            </w:r>
          </w:p>
        </w:tc>
        <w:tc>
          <w:tcPr>
            <w:tcW w:type="dxa" w:w="1440"/>
          </w:tcPr>
          <w:p>
            <w:pPr>
              <w:spacing w:after="40" w:before="40"/>
            </w:pPr>
            <w:r/>
            <w:r>
              <w:rPr>
                <w:rFonts w:ascii="Arial" w:hAnsi="Arial"/>
                <w:b w:val="0"/>
                <w:sz w:val="17"/>
              </w:rPr>
              <w:t>Grant</w:t>
            </w:r>
          </w:p>
        </w:tc>
      </w:tr>
      <w:tr>
        <w:tc>
          <w:tcPr>
            <w:tcW w:type="dxa" w:w="3384"/>
          </w:tcPr>
          <w:p>
            <w:pPr>
              <w:spacing w:after="40" w:before="40"/>
            </w:pPr>
            <w:r/>
            <w:r>
              <w:rPr>
                <w:rFonts w:ascii="Arial" w:hAnsi="Arial"/>
                <w:b w:val="0"/>
                <w:sz w:val="17"/>
              </w:rPr>
              <w:t>DHCD Community Legacy (via CDO partner)</w:t>
            </w:r>
          </w:p>
        </w:tc>
        <w:tc>
          <w:tcPr>
            <w:tcW w:type="dxa" w:w="1368"/>
          </w:tcPr>
          <w:p>
            <w:pPr>
              <w:spacing w:after="40" w:before="40"/>
              <w:jc w:val="right"/>
            </w:pPr>
            <w:r/>
            <w:r>
              <w:rPr>
                <w:rFonts w:ascii="Arial" w:hAnsi="Arial"/>
                <w:b w:val="0"/>
                <w:sz w:val="17"/>
              </w:rPr>
              <w:t>$100,000</w:t>
            </w:r>
          </w:p>
        </w:tc>
        <w:tc>
          <w:tcPr>
            <w:tcW w:type="dxa" w:w="1008"/>
          </w:tcPr>
          <w:p>
            <w:pPr>
              <w:spacing w:after="40" w:before="40"/>
              <w:jc w:val="right"/>
            </w:pPr>
            <w:r/>
            <w:r>
              <w:rPr>
                <w:rFonts w:ascii="Arial" w:hAnsi="Arial"/>
                <w:b w:val="0"/>
                <w:sz w:val="17"/>
              </w:rPr>
              <w:t>1.6%</w:t>
            </w:r>
          </w:p>
        </w:tc>
        <w:tc>
          <w:tcPr>
            <w:tcW w:type="dxa" w:w="2448"/>
          </w:tcPr>
          <w:p>
            <w:pPr>
              <w:spacing w:after="40" w:before="40"/>
            </w:pPr>
            <w:r/>
            <w:r>
              <w:rPr>
                <w:rFonts w:ascii="Arial" w:hAnsi="Arial"/>
                <w:b w:val="0"/>
                <w:sz w:val="17"/>
              </w:rPr>
              <w:t>To be requested with CBP</w:t>
            </w:r>
          </w:p>
        </w:tc>
        <w:tc>
          <w:tcPr>
            <w:tcW w:type="dxa" w:w="1440"/>
          </w:tcPr>
          <w:p>
            <w:pPr>
              <w:spacing w:after="40" w:before="40"/>
            </w:pPr>
            <w:r/>
            <w:r>
              <w:rPr>
                <w:rFonts w:ascii="Arial" w:hAnsi="Arial"/>
                <w:b w:val="0"/>
                <w:sz w:val="17"/>
              </w:rPr>
              <w:t>Grant</w:t>
            </w:r>
          </w:p>
        </w:tc>
      </w:tr>
      <w:tr>
        <w:tc>
          <w:tcPr>
            <w:tcW w:type="dxa" w:w="3384"/>
          </w:tcPr>
          <w:p>
            <w:pPr>
              <w:spacing w:after="40" w:before="40"/>
            </w:pPr>
            <w:r/>
            <w:r>
              <w:rPr>
                <w:rFonts w:ascii="Arial" w:hAnsi="Arial"/>
                <w:b w:val="0"/>
                <w:sz w:val="17"/>
              </w:rPr>
              <w:t>BDC / City subordinate gap financing (request)</w:t>
            </w:r>
          </w:p>
        </w:tc>
        <w:tc>
          <w:tcPr>
            <w:tcW w:type="dxa" w:w="1368"/>
          </w:tcPr>
          <w:p>
            <w:pPr>
              <w:spacing w:after="40" w:before="40"/>
              <w:jc w:val="right"/>
            </w:pPr>
            <w:r/>
            <w:r>
              <w:rPr>
                <w:rFonts w:ascii="Arial" w:hAnsi="Arial"/>
                <w:b w:val="0"/>
                <w:sz w:val="17"/>
              </w:rPr>
              <w:t>$943,874</w:t>
            </w:r>
          </w:p>
        </w:tc>
        <w:tc>
          <w:tcPr>
            <w:tcW w:type="dxa" w:w="1008"/>
          </w:tcPr>
          <w:p>
            <w:pPr>
              <w:spacing w:after="40" w:before="40"/>
              <w:jc w:val="right"/>
            </w:pPr>
            <w:r/>
            <w:r>
              <w:rPr>
                <w:rFonts w:ascii="Arial" w:hAnsi="Arial"/>
                <w:b w:val="0"/>
                <w:sz w:val="17"/>
              </w:rPr>
              <w:t>15.3%</w:t>
            </w:r>
          </w:p>
        </w:tc>
        <w:tc>
          <w:tcPr>
            <w:tcW w:type="dxa" w:w="2448"/>
          </w:tcPr>
          <w:p>
            <w:pPr>
              <w:spacing w:after="40" w:before="40"/>
            </w:pPr>
            <w:r/>
            <w:r>
              <w:rPr>
                <w:rFonts w:ascii="Arial" w:hAnsi="Arial"/>
                <w:b w:val="0"/>
                <w:sz w:val="17"/>
              </w:rPr>
              <w:t>Requested from BDC – deferred, repaid from sale/refinance</w:t>
            </w:r>
          </w:p>
        </w:tc>
        <w:tc>
          <w:tcPr>
            <w:tcW w:type="dxa" w:w="1440"/>
          </w:tcPr>
          <w:p>
            <w:pPr>
              <w:spacing w:after="40" w:before="40"/>
            </w:pPr>
            <w:r/>
            <w:r>
              <w:rPr>
                <w:rFonts w:ascii="Arial" w:hAnsi="Arial"/>
                <w:b w:val="0"/>
                <w:sz w:val="17"/>
              </w:rPr>
              <w:t>Subordinate debt</w:t>
            </w:r>
          </w:p>
        </w:tc>
      </w:tr>
      <w:tr>
        <w:tc>
          <w:tcPr>
            <w:tcW w:type="dxa" w:w="3384"/>
            <w:shd w:val="clear" w:fill="F2F2F2"/>
          </w:tcPr>
          <w:p>
            <w:pPr>
              <w:spacing w:after="40" w:before="40"/>
            </w:pPr>
            <w:r/>
            <w:r>
              <w:rPr>
                <w:rFonts w:ascii="Arial" w:hAnsi="Arial"/>
                <w:b/>
                <w:sz w:val="17"/>
              </w:rPr>
              <w:t>Total Phase 2 sources</w:t>
            </w:r>
          </w:p>
        </w:tc>
        <w:tc>
          <w:tcPr>
            <w:tcW w:type="dxa" w:w="1368"/>
            <w:shd w:val="clear" w:fill="F2F2F2"/>
          </w:tcPr>
          <w:p>
            <w:pPr>
              <w:spacing w:after="40" w:before="40"/>
              <w:jc w:val="right"/>
            </w:pPr>
            <w:r/>
            <w:r>
              <w:rPr>
                <w:rFonts w:ascii="Arial" w:hAnsi="Arial"/>
                <w:b/>
                <w:sz w:val="17"/>
              </w:rPr>
              <w:t>$6,166,023</w:t>
            </w:r>
          </w:p>
        </w:tc>
        <w:tc>
          <w:tcPr>
            <w:tcW w:type="dxa" w:w="1008"/>
            <w:shd w:val="clear" w:fill="F2F2F2"/>
          </w:tcPr>
          <w:p>
            <w:pPr>
              <w:spacing w:after="40" w:before="40"/>
              <w:jc w:val="right"/>
            </w:pPr>
            <w:r/>
            <w:r>
              <w:rPr>
                <w:rFonts w:ascii="Arial" w:hAnsi="Arial"/>
                <w:b/>
                <w:sz w:val="17"/>
              </w:rPr>
              <w:t>100.0%</w:t>
            </w:r>
          </w:p>
        </w:tc>
        <w:tc>
          <w:tcPr>
            <w:tcW w:type="dxa" w:w="2448"/>
            <w:shd w:val="clear" w:fill="F2F2F2"/>
          </w:tcPr>
          <w:p>
            <w:pPr>
              <w:spacing w:after="40" w:before="40"/>
            </w:pPr>
            <w:r/>
            <w:r>
              <w:rPr>
                <w:rFonts w:ascii="Arial" w:hAnsi="Arial"/>
                <w:b/>
                <w:sz w:val="17"/>
              </w:rPr>
            </w:r>
          </w:p>
        </w:tc>
        <w:tc>
          <w:tcPr>
            <w:tcW w:type="dxa" w:w="1440"/>
            <w:shd w:val="clear" w:fill="F2F2F2"/>
          </w:tcPr>
          <w:p>
            <w:pPr>
              <w:spacing w:after="40" w:before="40"/>
            </w:pPr>
            <w:r/>
            <w:r>
              <w:rPr>
                <w:rFonts w:ascii="Arial" w:hAnsi="Arial"/>
                <w:b/>
                <w:sz w:val="17"/>
              </w:rPr>
            </w:r>
          </w:p>
        </w:tc>
      </w:tr>
    </w:tbl>
    <w:p>
      <w:pPr>
        <w:spacing w:after="120" w:before="0"/>
      </w:pPr>
      <w:r>
        <w:rPr>
          <w:b w:val="0"/>
          <w:i w:val="0"/>
          <w:sz w:val="8"/>
        </w:rPr>
      </w:r>
    </w:p>
    <w:p>
      <w:pPr>
        <w:pStyle w:val="Heading2"/>
        <w:keepNext/>
        <w:spacing w:after="80" w:before="240"/>
      </w:pPr>
      <w:r>
        <w:rPr>
          <w:rFonts w:ascii="Arial" w:hAnsi="Arial"/>
          <w:b/>
          <w:i w:val="0"/>
          <w:color w:val="1F2A44"/>
          <w:sz w:val="23"/>
        </w:rPr>
        <w:t>Phase 1 — 1816 (funded)</w:t>
      </w:r>
    </w:p>
    <w:tbl>
      <w:tblPr>
        <w:tblStyle w:val="TableGrid"/>
        <w:tblW w:type="auto" w:w="0"/>
        <w:jc w:val="center"/>
        <w:tblLook w:firstColumn="1" w:firstRow="1" w:lastColumn="0" w:lastRow="0" w:noHBand="0" w:noVBand="1" w:val="04A0"/>
      </w:tblPr>
      <w:tblGrid>
        <w:gridCol w:w="3216"/>
        <w:gridCol w:w="3216"/>
        <w:gridCol w:w="3216"/>
      </w:tblGrid>
      <w:tr>
        <w:tc>
          <w:tcPr>
            <w:tcW w:type="dxa" w:w="4320"/>
            <w:shd w:val="clear" w:fill="1F2A44"/>
          </w:tcPr>
          <w:p>
            <w:r/>
            <w:r>
              <w:rPr>
                <w:rFonts w:ascii="Arial" w:hAnsi="Arial"/>
                <w:b/>
                <w:color w:val="FFFFFF"/>
                <w:sz w:val="19"/>
              </w:rPr>
              <w:t>Source</w:t>
            </w:r>
          </w:p>
        </w:tc>
        <w:tc>
          <w:tcPr>
            <w:tcW w:type="dxa" w:w="1584"/>
            <w:shd w:val="clear" w:fill="1F2A44"/>
          </w:tcPr>
          <w:p>
            <w:pPr>
              <w:jc w:val="right"/>
            </w:pPr>
            <w:r/>
            <w:r>
              <w:rPr>
                <w:rFonts w:ascii="Arial" w:hAnsi="Arial"/>
                <w:b/>
                <w:color w:val="FFFFFF"/>
                <w:sz w:val="19"/>
              </w:rPr>
              <w:t>Amount</w:t>
            </w:r>
          </w:p>
        </w:tc>
        <w:tc>
          <w:tcPr>
            <w:tcW w:type="dxa" w:w="3744"/>
            <w:shd w:val="clear" w:fill="1F2A44"/>
          </w:tcPr>
          <w:p>
            <w:r/>
            <w:r>
              <w:rPr>
                <w:rFonts w:ascii="Arial" w:hAnsi="Arial"/>
                <w:b/>
                <w:color w:val="FFFFFF"/>
                <w:sz w:val="19"/>
              </w:rPr>
              <w:t>Status</w:t>
            </w:r>
          </w:p>
        </w:tc>
      </w:tr>
      <w:tr>
        <w:tc>
          <w:tcPr>
            <w:tcW w:type="dxa" w:w="4320"/>
          </w:tcPr>
          <w:p>
            <w:pPr>
              <w:spacing w:after="40" w:before="40"/>
            </w:pPr>
            <w:r/>
            <w:r>
              <w:rPr>
                <w:rFonts w:ascii="Arial" w:hAnsi="Arial"/>
                <w:b w:val="0"/>
                <w:sz w:val="19"/>
              </w:rPr>
              <w:t>1816 permanent loan (refinances Nextres/FCI hard money)</w:t>
            </w:r>
          </w:p>
        </w:tc>
        <w:tc>
          <w:tcPr>
            <w:tcW w:type="dxa" w:w="1584"/>
          </w:tcPr>
          <w:p>
            <w:pPr>
              <w:spacing w:after="40" w:before="40"/>
              <w:jc w:val="right"/>
            </w:pPr>
            <w:r/>
            <w:r>
              <w:rPr>
                <w:rFonts w:ascii="Arial" w:hAnsi="Arial"/>
                <w:b w:val="0"/>
                <w:sz w:val="19"/>
              </w:rPr>
              <w:t>$782,036</w:t>
            </w:r>
          </w:p>
        </w:tc>
        <w:tc>
          <w:tcPr>
            <w:tcW w:type="dxa" w:w="3744"/>
          </w:tcPr>
          <w:p>
            <w:pPr>
              <w:spacing w:after="40" w:before="40"/>
            </w:pPr>
            <w:r/>
            <w:r>
              <w:rPr>
                <w:rFonts w:ascii="Arial" w:hAnsi="Arial"/>
                <w:b w:val="0"/>
                <w:sz w:val="19"/>
              </w:rPr>
              <w:t>To be closed at completion – bank/CDFI (NIIF may participate)</w:t>
            </w:r>
          </w:p>
        </w:tc>
      </w:tr>
      <w:tr>
        <w:tc>
          <w:tcPr>
            <w:tcW w:type="dxa" w:w="4320"/>
          </w:tcPr>
          <w:p>
            <w:pPr>
              <w:spacing w:after="40" w:before="40"/>
            </w:pPr>
            <w:r/>
            <w:r>
              <w:rPr>
                <w:rFonts w:ascii="Arial" w:hAnsi="Arial"/>
                <w:b w:val="0"/>
                <w:sz w:val="19"/>
              </w:rPr>
              <w:t>Sponsor equity invested to date</w:t>
            </w:r>
          </w:p>
        </w:tc>
        <w:tc>
          <w:tcPr>
            <w:tcW w:type="dxa" w:w="1584"/>
          </w:tcPr>
          <w:p>
            <w:pPr>
              <w:spacing w:after="40" w:before="40"/>
              <w:jc w:val="right"/>
            </w:pPr>
            <w:r/>
            <w:r>
              <w:rPr>
                <w:rFonts w:ascii="Arial" w:hAnsi="Arial"/>
                <w:b w:val="0"/>
                <w:sz w:val="19"/>
              </w:rPr>
              <w:t>$559,000</w:t>
            </w:r>
          </w:p>
        </w:tc>
        <w:tc>
          <w:tcPr>
            <w:tcW w:type="dxa" w:w="3744"/>
          </w:tcPr>
          <w:p>
            <w:pPr>
              <w:spacing w:after="40" w:before="40"/>
            </w:pPr>
            <w:r/>
            <w:r>
              <w:rPr>
                <w:rFonts w:ascii="Arial" w:hAnsi="Arial"/>
                <w:b w:val="0"/>
                <w:sz w:val="19"/>
              </w:rPr>
              <w:t>Funded</w:t>
            </w:r>
          </w:p>
        </w:tc>
      </w:tr>
      <w:tr>
        <w:tc>
          <w:tcPr>
            <w:tcW w:type="dxa" w:w="4320"/>
          </w:tcPr>
          <w:p>
            <w:pPr>
              <w:spacing w:after="40" w:before="40"/>
            </w:pPr>
            <w:r/>
            <w:r>
              <w:rPr>
                <w:rFonts w:ascii="Arial" w:hAnsi="Arial"/>
                <w:b w:val="0"/>
                <w:sz w:val="19"/>
              </w:rPr>
              <w:t>Sponsor-funded carrying costs to date</w:t>
            </w:r>
          </w:p>
        </w:tc>
        <w:tc>
          <w:tcPr>
            <w:tcW w:type="dxa" w:w="1584"/>
          </w:tcPr>
          <w:p>
            <w:pPr>
              <w:spacing w:after="40" w:before="40"/>
              <w:jc w:val="right"/>
            </w:pPr>
            <w:r/>
            <w:r>
              <w:rPr>
                <w:rFonts w:ascii="Arial" w:hAnsi="Arial"/>
                <w:b w:val="0"/>
                <w:sz w:val="19"/>
              </w:rPr>
              <w:t>$230,744</w:t>
            </w:r>
          </w:p>
        </w:tc>
        <w:tc>
          <w:tcPr>
            <w:tcW w:type="dxa" w:w="3744"/>
          </w:tcPr>
          <w:p>
            <w:pPr>
              <w:spacing w:after="40" w:before="40"/>
            </w:pPr>
            <w:r/>
            <w:r>
              <w:rPr>
                <w:rFonts w:ascii="Arial" w:hAnsi="Arial"/>
                <w:b w:val="0"/>
                <w:sz w:val="19"/>
              </w:rPr>
              <w:t>Funded</w:t>
            </w:r>
          </w:p>
        </w:tc>
      </w:tr>
      <w:tr>
        <w:tc>
          <w:tcPr>
            <w:tcW w:type="dxa" w:w="4320"/>
          </w:tcPr>
          <w:p>
            <w:pPr>
              <w:spacing w:after="40" w:before="40"/>
            </w:pPr>
            <w:r/>
            <w:r>
              <w:rPr>
                <w:rFonts w:ascii="Arial" w:hAnsi="Arial"/>
                <w:b w:val="0"/>
                <w:sz w:val="19"/>
              </w:rPr>
              <w:t>DHCD BRNI award (BRNI-2026-LLAYD-00539-R)</w:t>
            </w:r>
          </w:p>
        </w:tc>
        <w:tc>
          <w:tcPr>
            <w:tcW w:type="dxa" w:w="1584"/>
          </w:tcPr>
          <w:p>
            <w:pPr>
              <w:spacing w:after="40" w:before="40"/>
              <w:jc w:val="right"/>
            </w:pPr>
            <w:r/>
            <w:r>
              <w:rPr>
                <w:rFonts w:ascii="Arial" w:hAnsi="Arial"/>
                <w:b w:val="0"/>
                <w:sz w:val="19"/>
              </w:rPr>
              <w:t>$250,000</w:t>
            </w:r>
          </w:p>
        </w:tc>
        <w:tc>
          <w:tcPr>
            <w:tcW w:type="dxa" w:w="3744"/>
          </w:tcPr>
          <w:p>
            <w:pPr>
              <w:spacing w:after="40" w:before="40"/>
            </w:pPr>
            <w:r/>
            <w:r>
              <w:rPr>
                <w:rFonts w:ascii="Arial" w:hAnsi="Arial"/>
                <w:b w:val="0"/>
                <w:sz w:val="19"/>
              </w:rPr>
              <w:t>Awarded</w:t>
            </w:r>
          </w:p>
        </w:tc>
      </w:tr>
      <w:tr>
        <w:tc>
          <w:tcPr>
            <w:tcW w:type="dxa" w:w="4320"/>
          </w:tcPr>
          <w:p>
            <w:pPr>
              <w:spacing w:after="40" w:before="40"/>
            </w:pPr>
            <w:r/>
            <w:r>
              <w:rPr>
                <w:rFonts w:ascii="Arial" w:hAnsi="Arial"/>
                <w:b w:val="0"/>
                <w:sz w:val="19"/>
              </w:rPr>
              <w:t>MD bond bill – 2025 session</w:t>
            </w:r>
          </w:p>
        </w:tc>
        <w:tc>
          <w:tcPr>
            <w:tcW w:type="dxa" w:w="1584"/>
          </w:tcPr>
          <w:p>
            <w:pPr>
              <w:spacing w:after="40" w:before="40"/>
              <w:jc w:val="right"/>
            </w:pPr>
            <w:r/>
            <w:r>
              <w:rPr>
                <w:rFonts w:ascii="Arial" w:hAnsi="Arial"/>
                <w:b w:val="0"/>
                <w:sz w:val="19"/>
              </w:rPr>
              <w:t>$250,000</w:t>
            </w:r>
          </w:p>
        </w:tc>
        <w:tc>
          <w:tcPr>
            <w:tcW w:type="dxa" w:w="3744"/>
          </w:tcPr>
          <w:p>
            <w:pPr>
              <w:spacing w:after="40" w:before="40"/>
            </w:pPr>
            <w:r/>
            <w:r>
              <w:rPr>
                <w:rFonts w:ascii="Arial" w:hAnsi="Arial"/>
                <w:b w:val="0"/>
                <w:sz w:val="19"/>
              </w:rPr>
              <w:t>Awarded</w:t>
            </w:r>
          </w:p>
        </w:tc>
      </w:tr>
      <w:tr>
        <w:tc>
          <w:tcPr>
            <w:tcW w:type="dxa" w:w="4320"/>
            <w:shd w:val="clear" w:fill="F2F2F2"/>
          </w:tcPr>
          <w:p>
            <w:pPr>
              <w:spacing w:after="40" w:before="40"/>
            </w:pPr>
            <w:r/>
            <w:r>
              <w:rPr>
                <w:rFonts w:ascii="Arial" w:hAnsi="Arial"/>
                <w:b/>
                <w:sz w:val="19"/>
              </w:rPr>
              <w:t>Total Phase 1 sources</w:t>
            </w:r>
          </w:p>
        </w:tc>
        <w:tc>
          <w:tcPr>
            <w:tcW w:type="dxa" w:w="1584"/>
            <w:shd w:val="clear" w:fill="F2F2F2"/>
          </w:tcPr>
          <w:p>
            <w:pPr>
              <w:spacing w:after="40" w:before="40"/>
              <w:jc w:val="right"/>
            </w:pPr>
            <w:r/>
            <w:r>
              <w:rPr>
                <w:rFonts w:ascii="Arial" w:hAnsi="Arial"/>
                <w:b/>
                <w:sz w:val="19"/>
              </w:rPr>
              <w:t>$2,071,780</w:t>
            </w:r>
          </w:p>
        </w:tc>
        <w:tc>
          <w:tcPr>
            <w:tcW w:type="dxa" w:w="3744"/>
            <w:shd w:val="clear" w:fill="F2F2F2"/>
          </w:tcPr>
          <w:p>
            <w:pPr>
              <w:spacing w:after="40" w:before="40"/>
            </w:pPr>
            <w:r/>
            <w:r>
              <w:rPr>
                <w:rFonts w:ascii="Arial" w:hAnsi="Arial"/>
                <w:b/>
                <w:sz w:val="19"/>
              </w:rPr>
            </w:r>
          </w:p>
        </w:tc>
      </w:tr>
    </w:tbl>
    <w:p>
      <w:pPr>
        <w:spacing w:after="200" w:before="0"/>
      </w:pPr>
      <w:r>
        <w:rPr>
          <w:b w:val="0"/>
          <w:i/>
          <w:color w:val="595959"/>
          <w:sz w:val="17"/>
        </w:rPr>
        <w:t>The 1816 permanent loan is sized to fill the 1816 budget exactly, including its own closing cost and reserve; it retires the matured 15% Nextres note (payoff $547,000) and funds the remaining work. It carries 7.25% over 25 years and covers at 1.78x with 48.4% LTV.</w:t>
      </w:r>
    </w:p>
    <w:p>
      <w:pPr>
        <w:spacing w:after="160" w:before="0"/>
      </w:pPr>
      <w:r>
        <w:rPr>
          <w:b/>
          <w:i w:val="0"/>
          <w:sz w:val="21"/>
        </w:rPr>
        <w:t>Total sources across all three parcels equal total uses: $8,237,803.</w:t>
      </w:r>
    </w:p>
    <w:p>
      <w:pPr>
        <w:pStyle w:val="Heading2"/>
        <w:keepNext/>
        <w:spacing w:after="80" w:before="240"/>
      </w:pPr>
      <w:r>
        <w:rPr>
          <w:rFonts w:ascii="Arial" w:hAnsi="Arial"/>
          <w:b/>
          <w:i w:val="0"/>
          <w:color w:val="1F2A44"/>
          <w:sz w:val="23"/>
        </w:rPr>
        <w:t>Historic tax credit equity</w:t>
      </w:r>
    </w:p>
    <w:p>
      <w:pPr>
        <w:spacing w:after="160" w:before="0"/>
      </w:pPr>
      <w:r>
        <w:rPr>
          <w:b w:val="0"/>
          <w:i w:val="0"/>
          <w:sz w:val="21"/>
        </w:rPr>
        <w:t>Qualified rehabilitation expenditures are $2,576,470: 80% of 1818 and 1820 hard costs, after removing the new vertical addition, the smart-home package, the decks and the outdoor kitchens, none of which qualify. At 20% each, the federal and Maryland credits are $515,294 apiece, and both are modeled at $1 per dollar of credit, giving $438,000 and $438,000 of equity. Pricing is unverified and awaits an investor quote; small deals typically price at 80–95¢. Federal credits require NPS Part 1–3 certification, and the Maryland Competitive Commercial credit is an award, not an entitlement — its next round runs June–August 31, 2027, with Part 2 approval needed before work begins. The Small Commercial credit, capped at $50,000, is the fallback. Section 9 shows what happens if neither credit lands.</w:t>
      </w:r>
    </w:p>
    <w:p>
      <w:pPr>
        <w:pStyle w:val="Heading1"/>
        <w:keepNext/>
        <w:spacing w:after="120" w:before="320"/>
      </w:pPr>
      <w:r>
        <w:rPr>
          <w:rFonts w:ascii="Arial" w:hAnsi="Arial"/>
          <w:b/>
          <w:i w:val="0"/>
          <w:color w:val="1F2A44"/>
          <w:sz w:val="30"/>
        </w:rPr>
        <w:t>5. The funding gap</w:t>
      </w:r>
    </w:p>
    <w:tbl>
      <w:tblPr>
        <w:tblStyle w:val="TableGrid"/>
        <w:tblW w:type="auto" w:w="0"/>
        <w:jc w:val="center"/>
        <w:tblLook w:firstColumn="1" w:firstRow="1" w:lastColumn="0" w:lastRow="0" w:noHBand="0" w:noVBand="1" w:val="04A0"/>
      </w:tblPr>
      <w:tblGrid>
        <w:gridCol w:w="4824"/>
        <w:gridCol w:w="4824"/>
      </w:tblGrid>
      <w:tr>
        <w:tc>
          <w:tcPr>
            <w:tcW w:type="dxa" w:w="6768"/>
            <w:shd w:val="clear" w:fill="1F2A44"/>
          </w:tcPr>
          <w:p>
            <w:r/>
            <w:r>
              <w:rPr>
                <w:rFonts w:ascii="Arial" w:hAnsi="Arial"/>
                <w:b/>
                <w:color w:val="FFFFFF"/>
                <w:sz w:val="19"/>
              </w:rPr>
              <w:t>Step (Phase 2)</w:t>
            </w:r>
          </w:p>
        </w:tc>
        <w:tc>
          <w:tcPr>
            <w:tcW w:type="dxa" w:w="2160"/>
            <w:shd w:val="clear" w:fill="1F2A44"/>
          </w:tcPr>
          <w:p>
            <w:pPr>
              <w:jc w:val="right"/>
            </w:pPr>
            <w:r/>
            <w:r>
              <w:rPr>
                <w:rFonts w:ascii="Arial" w:hAnsi="Arial"/>
                <w:b/>
                <w:color w:val="FFFFFF"/>
                <w:sz w:val="19"/>
              </w:rPr>
              <w:t>Amount</w:t>
            </w:r>
          </w:p>
        </w:tc>
      </w:tr>
      <w:tr>
        <w:tc>
          <w:tcPr>
            <w:tcW w:type="dxa" w:w="6768"/>
          </w:tcPr>
          <w:p>
            <w:pPr>
              <w:spacing w:after="40" w:before="40"/>
            </w:pPr>
            <w:r/>
            <w:r>
              <w:rPr>
                <w:rFonts w:ascii="Arial" w:hAnsi="Arial"/>
                <w:b w:val="0"/>
                <w:sz w:val="19"/>
              </w:rPr>
              <w:t>Total Phase 2 uses</w:t>
            </w:r>
          </w:p>
        </w:tc>
        <w:tc>
          <w:tcPr>
            <w:tcW w:type="dxa" w:w="2160"/>
          </w:tcPr>
          <w:p>
            <w:pPr>
              <w:spacing w:after="40" w:before="40"/>
              <w:jc w:val="right"/>
            </w:pPr>
            <w:r/>
            <w:r>
              <w:rPr>
                <w:rFonts w:ascii="Arial" w:hAnsi="Arial"/>
                <w:b w:val="0"/>
                <w:sz w:val="19"/>
              </w:rPr>
              <w:t>$6,166,023</w:t>
            </w:r>
          </w:p>
        </w:tc>
      </w:tr>
      <w:tr>
        <w:tc>
          <w:tcPr>
            <w:tcW w:type="dxa" w:w="6768"/>
          </w:tcPr>
          <w:p>
            <w:pPr>
              <w:spacing w:after="40" w:before="40"/>
            </w:pPr>
            <w:r/>
            <w:r>
              <w:rPr>
                <w:rFonts w:ascii="Arial" w:hAnsi="Arial"/>
                <w:b w:val="0"/>
                <w:sz w:val="19"/>
              </w:rPr>
              <w:t>Less: NIIF loan, sponsor cash, 1818 land equity, deferred developer fee (Priority 1)</w:t>
            </w:r>
          </w:p>
        </w:tc>
        <w:tc>
          <w:tcPr>
            <w:tcW w:type="dxa" w:w="2160"/>
          </w:tcPr>
          <w:p>
            <w:pPr>
              <w:spacing w:after="40" w:before="40"/>
              <w:jc w:val="right"/>
            </w:pPr>
            <w:r/>
            <w:r>
              <w:rPr>
                <w:rFonts w:ascii="Arial" w:hAnsi="Arial"/>
                <w:b w:val="0"/>
                <w:sz w:val="19"/>
              </w:rPr>
              <w:t>−$3,296,149</w:t>
            </w:r>
          </w:p>
        </w:tc>
      </w:tr>
      <w:tr>
        <w:tc>
          <w:tcPr>
            <w:tcW w:type="dxa" w:w="6768"/>
            <w:shd w:val="clear" w:fill="F2F2F2"/>
          </w:tcPr>
          <w:p>
            <w:pPr>
              <w:spacing w:after="40" w:before="40"/>
            </w:pPr>
            <w:r/>
            <w:r>
              <w:rPr>
                <w:rFonts w:ascii="Arial" w:hAnsi="Arial"/>
                <w:b/>
                <w:sz w:val="19"/>
              </w:rPr>
              <w:t>Gap before any public source</w:t>
            </w:r>
          </w:p>
        </w:tc>
        <w:tc>
          <w:tcPr>
            <w:tcW w:type="dxa" w:w="2160"/>
            <w:shd w:val="clear" w:fill="F2F2F2"/>
          </w:tcPr>
          <w:p>
            <w:pPr>
              <w:spacing w:after="40" w:before="40"/>
              <w:jc w:val="right"/>
            </w:pPr>
            <w:r/>
            <w:r>
              <w:rPr>
                <w:rFonts w:ascii="Arial" w:hAnsi="Arial"/>
                <w:b/>
                <w:sz w:val="19"/>
              </w:rPr>
              <w:t>$2,869,874</w:t>
            </w:r>
          </w:p>
        </w:tc>
      </w:tr>
      <w:tr>
        <w:tc>
          <w:tcPr>
            <w:tcW w:type="dxa" w:w="6768"/>
          </w:tcPr>
          <w:p>
            <w:pPr>
              <w:spacing w:after="40" w:before="40"/>
            </w:pPr>
            <w:r/>
            <w:r>
              <w:rPr>
                <w:rFonts w:ascii="Arial" w:hAnsi="Arial"/>
                <w:b w:val="0"/>
                <w:sz w:val="19"/>
              </w:rPr>
              <w:t>Less: 2027 bond bill, historic tax credit equity, BDC façade grants (Priority 2)</w:t>
            </w:r>
          </w:p>
        </w:tc>
        <w:tc>
          <w:tcPr>
            <w:tcW w:type="dxa" w:w="2160"/>
          </w:tcPr>
          <w:p>
            <w:pPr>
              <w:spacing w:after="40" w:before="40"/>
              <w:jc w:val="right"/>
            </w:pPr>
            <w:r/>
            <w:r>
              <w:rPr>
                <w:rFonts w:ascii="Arial" w:hAnsi="Arial"/>
                <w:b w:val="0"/>
                <w:sz w:val="19"/>
              </w:rPr>
              <w:t>−$1,426,000</w:t>
            </w:r>
          </w:p>
        </w:tc>
      </w:tr>
      <w:tr>
        <w:tc>
          <w:tcPr>
            <w:tcW w:type="dxa" w:w="6768"/>
            <w:shd w:val="clear" w:fill="F2F2F2"/>
          </w:tcPr>
          <w:p>
            <w:pPr>
              <w:spacing w:after="40" w:before="40"/>
            </w:pPr>
            <w:r/>
            <w:r>
              <w:rPr>
                <w:rFonts w:ascii="Arial" w:hAnsi="Arial"/>
                <w:b/>
                <w:sz w:val="19"/>
              </w:rPr>
              <w:t>Gap after Priority 2</w:t>
            </w:r>
          </w:p>
        </w:tc>
        <w:tc>
          <w:tcPr>
            <w:tcW w:type="dxa" w:w="2160"/>
            <w:shd w:val="clear" w:fill="F2F2F2"/>
          </w:tcPr>
          <w:p>
            <w:pPr>
              <w:spacing w:after="40" w:before="40"/>
              <w:jc w:val="right"/>
            </w:pPr>
            <w:r/>
            <w:r>
              <w:rPr>
                <w:rFonts w:ascii="Arial" w:hAnsi="Arial"/>
                <w:b/>
                <w:sz w:val="19"/>
              </w:rPr>
              <w:t>$1,443,874</w:t>
            </w:r>
          </w:p>
        </w:tc>
      </w:tr>
      <w:tr>
        <w:tc>
          <w:tcPr>
            <w:tcW w:type="dxa" w:w="6768"/>
          </w:tcPr>
          <w:p>
            <w:pPr>
              <w:spacing w:after="40" w:before="40"/>
            </w:pPr>
            <w:r/>
            <w:r>
              <w:rPr>
                <w:rFonts w:ascii="Arial" w:hAnsi="Arial"/>
                <w:b w:val="0"/>
                <w:sz w:val="19"/>
              </w:rPr>
              <w:t>Less: BRNI FY2029, Strategic Demolition Fund, Community Legacy (Priority 3)</w:t>
            </w:r>
          </w:p>
        </w:tc>
        <w:tc>
          <w:tcPr>
            <w:tcW w:type="dxa" w:w="2160"/>
          </w:tcPr>
          <w:p>
            <w:pPr>
              <w:spacing w:after="40" w:before="40"/>
              <w:jc w:val="right"/>
            </w:pPr>
            <w:r/>
            <w:r>
              <w:rPr>
                <w:rFonts w:ascii="Arial" w:hAnsi="Arial"/>
                <w:b w:val="0"/>
                <w:sz w:val="19"/>
              </w:rPr>
              <w:t>−$500,000</w:t>
            </w:r>
          </w:p>
        </w:tc>
      </w:tr>
      <w:tr>
        <w:tc>
          <w:tcPr>
            <w:tcW w:type="dxa" w:w="6768"/>
            <w:shd w:val="clear" w:fill="F2F2F2"/>
          </w:tcPr>
          <w:p>
            <w:pPr>
              <w:spacing w:after="40" w:before="40"/>
            </w:pPr>
            <w:r/>
            <w:r>
              <w:rPr>
                <w:rFonts w:ascii="Arial" w:hAnsi="Arial"/>
                <w:b/>
                <w:sz w:val="19"/>
              </w:rPr>
              <w:t>Remaining gap — BDC / City request</w:t>
            </w:r>
          </w:p>
        </w:tc>
        <w:tc>
          <w:tcPr>
            <w:tcW w:type="dxa" w:w="2160"/>
            <w:shd w:val="clear" w:fill="F2F2F2"/>
          </w:tcPr>
          <w:p>
            <w:pPr>
              <w:spacing w:after="40" w:before="40"/>
              <w:jc w:val="right"/>
            </w:pPr>
            <w:r/>
            <w:r>
              <w:rPr>
                <w:rFonts w:ascii="Arial" w:hAnsi="Arial"/>
                <w:b/>
                <w:sz w:val="19"/>
              </w:rPr>
              <w:t>$943,874</w:t>
            </w:r>
          </w:p>
        </w:tc>
      </w:tr>
    </w:tbl>
    <w:p>
      <w:pPr>
        <w:spacing w:after="120" w:before="0"/>
      </w:pPr>
      <w:r>
        <w:rPr>
          <w:b w:val="0"/>
          <w:i w:val="0"/>
          <w:sz w:val="8"/>
        </w:rPr>
      </w:r>
    </w:p>
    <w:p>
      <w:pPr>
        <w:pStyle w:val="Heading2"/>
        <w:keepNext/>
        <w:spacing w:after="80" w:before="240"/>
      </w:pPr>
      <w:r>
        <w:rPr>
          <w:rFonts w:ascii="Arial" w:hAnsi="Arial"/>
          <w:b/>
          <w:i w:val="0"/>
          <w:color w:val="1F2A44"/>
          <w:sz w:val="23"/>
        </w:rPr>
        <w:t>Why a gap exists</w:t>
      </w:r>
    </w:p>
    <w:p>
      <w:pPr>
        <w:spacing w:after="160" w:before="0"/>
      </w:pPr>
      <w:r>
        <w:rPr>
          <w:b w:val="0"/>
          <w:i w:val="0"/>
          <w:sz w:val="21"/>
        </w:rPr>
        <w:t>Phase 2 costs $6,166,023. The finished 1818 and 1820 buildings are worth $3,405,893 at a 7.50% capitalization rate, and the unlevered project return is 0.6%. Restoring historic buildings on this block costs more than conventional capital can carry — the cost to restore exceeds the finished value by roughly $2,760,130. No amount of restructuring changes that arithmetic. What closes it is public investment, and what the public gets back is 18 homes, 4 storefronts, a restored landmark and a parcel back on the tax rolls.</w:t>
      </w:r>
    </w:p>
    <w:p>
      <w:pPr>
        <w:spacing w:after="160" w:before="0"/>
      </w:pPr>
      <w:r>
        <w:rPr>
          <w:b w:val="0"/>
          <w:i w:val="0"/>
          <w:sz w:val="21"/>
        </w:rPr>
        <w:t>The request has been kept as small as the deal allows. Sponsor equity, land equity and a deferred fee come first; every state and federal program the project can reach is applied for; and the BDC request is what remains. It shrinks dollar-for-dollar if any other award comes in higher.</w:t>
      </w:r>
    </w:p>
    <w:p>
      <w:pPr>
        <w:pStyle w:val="Heading1"/>
        <w:keepNext/>
        <w:spacing w:after="120" w:before="320"/>
      </w:pPr>
      <w:r>
        <w:rPr>
          <w:rFonts w:ascii="Arial" w:hAnsi="Arial"/>
          <w:b/>
          <w:i w:val="0"/>
          <w:color w:val="1F2A44"/>
          <w:sz w:val="30"/>
        </w:rPr>
        <w:t>6. Ranked funding strategy</w:t>
      </w:r>
    </w:p>
    <w:p>
      <w:pPr>
        <w:pStyle w:val="Heading2"/>
        <w:keepNext/>
        <w:spacing w:after="80" w:before="240"/>
      </w:pPr>
      <w:r>
        <w:rPr>
          <w:rFonts w:ascii="Arial" w:hAnsi="Arial"/>
          <w:b/>
          <w:i w:val="0"/>
          <w:color w:val="1F2A44"/>
          <w:sz w:val="23"/>
        </w:rPr>
        <w:t>Priority 1 — private and CDFI capital</w:t>
      </w:r>
    </w:p>
    <w:p>
      <w:pPr>
        <w:pStyle w:val="ListBullet"/>
        <w:spacing w:after="60"/>
      </w:pPr>
      <w:r>
        <w:rPr>
          <w:rFonts w:ascii="Arial" w:hAnsi="Arial"/>
          <w:sz w:val="21"/>
        </w:rPr>
        <w:t>NIIF senior construction-to-permanent loan of $2,724,000 at 5.0% fixed — the largest single source and the anchor of the capital stack.</w:t>
      </w:r>
    </w:p>
    <w:p>
      <w:pPr>
        <w:pStyle w:val="ListBullet"/>
        <w:spacing w:after="60"/>
      </w:pPr>
      <w:r>
        <w:rPr>
          <w:rFonts w:ascii="Arial" w:hAnsi="Arial"/>
          <w:sz w:val="21"/>
        </w:rPr>
        <w:t>Sponsor cash equity of $200,000 from Bradford and Jasmine Phillips / LLAYD LLC; proof of funds to be provided.</w:t>
      </w:r>
    </w:p>
    <w:p>
      <w:pPr>
        <w:pStyle w:val="ListBullet"/>
        <w:spacing w:after="60"/>
      </w:pPr>
      <w:r>
        <w:rPr>
          <w:rFonts w:ascii="Arial" w:hAnsi="Arial"/>
          <w:sz w:val="21"/>
        </w:rPr>
        <w:t>1818 land equity of $150,000, already funded at the March 2026 sale.</w:t>
      </w:r>
    </w:p>
    <w:p>
      <w:pPr>
        <w:pStyle w:val="ListBullet"/>
        <w:spacing w:after="60"/>
      </w:pPr>
      <w:r>
        <w:rPr>
          <w:rFonts w:ascii="Arial" w:hAnsi="Arial"/>
          <w:sz w:val="21"/>
        </w:rPr>
        <w:t>Deferred developer fee of $222,149 — half the Phase 2 fee — repaid from operating cash flow and fully retired by Year 4 in the base case.</w:t>
      </w:r>
    </w:p>
    <w:p>
      <w:pPr>
        <w:pStyle w:val="Heading2"/>
        <w:keepNext/>
        <w:spacing w:after="80" w:before="240"/>
      </w:pPr>
      <w:r>
        <w:rPr>
          <w:rFonts w:ascii="Arial" w:hAnsi="Arial"/>
          <w:b/>
          <w:i w:val="0"/>
          <w:color w:val="1F2A44"/>
          <w:sz w:val="23"/>
        </w:rPr>
        <w:t>Priority 2 — state and federal programs already in reach</w:t>
      </w:r>
    </w:p>
    <w:p>
      <w:pPr>
        <w:pStyle w:val="ListBullet"/>
        <w:spacing w:after="60"/>
      </w:pPr>
      <w:r>
        <w:rPr>
          <w:rFonts w:ascii="Arial" w:hAnsi="Arial"/>
          <w:sz w:val="21"/>
        </w:rPr>
        <w:t>MD Legislative Bond Initiative, 2027 session: a $500,000 request through District 40. The application is due November 23, 2026, with presentations November 30; funds become available after June 1, 2027, which fits the July 2027 construction start. The 2025 session awarded LLAYD $250,000 for 1816, so the delegation knows the project.</w:t>
      </w:r>
    </w:p>
    <w:p>
      <w:pPr>
        <w:pStyle w:val="ListBullet"/>
        <w:spacing w:after="60"/>
      </w:pPr>
      <w:r>
        <w:rPr>
          <w:rFonts w:ascii="Arial" w:hAnsi="Arial"/>
          <w:sz w:val="21"/>
        </w:rPr>
        <w:t>Federal and Maryland historic tax credits: $876,000 of equity combined, on $2,576,470 of qualified rehabilitation expenditures. Part 1 filings go in Q4 2026.</w:t>
      </w:r>
    </w:p>
    <w:p>
      <w:pPr>
        <w:pStyle w:val="ListBullet"/>
        <w:spacing w:after="60"/>
      </w:pPr>
      <w:r>
        <w:rPr>
          <w:rFonts w:ascii="Arial" w:hAnsi="Arial"/>
          <w:sz w:val="21"/>
        </w:rPr>
        <w:t>BDC Façade Improvement Grants: two Rehabilitation FIGs at $25,000 each, 1:1 match, paid by reimbursement, for 1818 and 1820.</w:t>
      </w:r>
    </w:p>
    <w:p>
      <w:pPr>
        <w:pStyle w:val="Heading2"/>
        <w:keepNext/>
        <w:spacing w:after="80" w:before="240"/>
      </w:pPr>
      <w:r>
        <w:rPr>
          <w:rFonts w:ascii="Arial" w:hAnsi="Arial"/>
          <w:b/>
          <w:i w:val="0"/>
          <w:color w:val="1F2A44"/>
          <w:sz w:val="23"/>
        </w:rPr>
        <w:t>Priority 3 — DHCD grants through a CDO partner</w:t>
      </w:r>
    </w:p>
    <w:p>
      <w:pPr>
        <w:pStyle w:val="ListBullet"/>
        <w:spacing w:after="60"/>
      </w:pPr>
      <w:r>
        <w:rPr>
          <w:rFonts w:ascii="Arial" w:hAnsi="Arial"/>
          <w:sz w:val="21"/>
        </w:rPr>
        <w:t>BRNI FY2029 ($150,000), Strategic Demolition Fund / Project C.O.R.E. ($250,000) and Community Legacy ($100,000).</w:t>
      </w:r>
    </w:p>
    <w:p>
      <w:pPr>
        <w:pStyle w:val="ListBullet"/>
        <w:spacing w:after="60"/>
      </w:pPr>
      <w:r>
        <w:rPr>
          <w:rFonts w:ascii="Arial" w:hAnsi="Arial"/>
          <w:sz w:val="21"/>
        </w:rPr>
        <w:t>These programs are open to nonprofit community development organizations and local governments, so they would be applied for with Central Baltimore Partnership. LLAYD's own BRNI eligibility is being confirmed with DHCD.</w:t>
      </w:r>
    </w:p>
    <w:p>
      <w:pPr>
        <w:pStyle w:val="Heading2"/>
        <w:keepNext/>
        <w:spacing w:after="80" w:before="240"/>
      </w:pPr>
      <w:r>
        <w:rPr>
          <w:rFonts w:ascii="Arial" w:hAnsi="Arial"/>
          <w:b/>
          <w:i w:val="0"/>
          <w:color w:val="1F2A44"/>
          <w:sz w:val="23"/>
        </w:rPr>
        <w:t>Priority 4 — the BDC request</w:t>
      </w:r>
    </w:p>
    <w:p>
      <w:pPr>
        <w:spacing w:after="160" w:before="0"/>
      </w:pPr>
      <w:r>
        <w:rPr>
          <w:b w:val="0"/>
          <w:i w:val="0"/>
          <w:sz w:val="21"/>
        </w:rPr>
        <w:t>$943,874, preferably as deferred subordinate financing repaid at refinance or sale rather than as a grant. It is 15.3% of Phase 2 cost and 11.5% of the whole project.</w:t>
      </w:r>
    </w:p>
    <w:p>
      <w:pPr>
        <w:pStyle w:val="Heading2"/>
        <w:keepNext/>
        <w:spacing w:after="80" w:before="240"/>
      </w:pPr>
      <w:r>
        <w:rPr>
          <w:rFonts w:ascii="Arial" w:hAnsi="Arial"/>
          <w:b/>
          <w:i w:val="0"/>
          <w:color w:val="1F2A44"/>
          <w:sz w:val="23"/>
        </w:rPr>
        <w:t>Additional levers</w:t>
      </w:r>
    </w:p>
    <w:p>
      <w:pPr>
        <w:pStyle w:val="ListBullet"/>
        <w:spacing w:after="60"/>
      </w:pPr>
      <w:r>
        <w:rPr>
          <w:rFonts w:ascii="Arial" w:hAnsi="Arial"/>
          <w:sz w:val="21"/>
        </w:rPr>
        <w:t>DHCD Small Business Lending Program: 4% fixed, up to $2M, for the commercial component.</w:t>
      </w:r>
    </w:p>
    <w:p>
      <w:pPr>
        <w:pStyle w:val="ListBullet"/>
        <w:spacing w:after="60"/>
      </w:pPr>
      <w:r>
        <w:rPr>
          <w:rFonts w:ascii="Arial" w:hAnsi="Arial"/>
          <w:sz w:val="21"/>
        </w:rPr>
        <w:t>Opportunity Zone equity: tract 1205 stays on the current map through 2028. Not in the base case.</w:t>
      </w:r>
    </w:p>
    <w:p>
      <w:pPr>
        <w:pStyle w:val="ListBullet"/>
        <w:spacing w:after="60"/>
      </w:pPr>
      <w:r>
        <w:rPr>
          <w:rFonts w:ascii="Arial" w:hAnsi="Arial"/>
          <w:sz w:val="21"/>
        </w:rPr>
        <w:t>Central Baltimore Partnership funds: the CBFF Strategic Acquisition &amp; Predevelopment Fund and the Neil Muldrow Small Business Fund; MHT's Historic Preservation Loan Fund.</w:t>
      </w:r>
    </w:p>
    <w:p>
      <w:pPr>
        <w:pStyle w:val="ListBullet"/>
        <w:spacing w:after="60"/>
      </w:pPr>
      <w:r>
        <w:rPr>
          <w:rFonts w:ascii="Arial" w:hAnsi="Arial"/>
          <w:sz w:val="21"/>
        </w:rPr>
        <w:t>Furniture leasing or financing for the FF&amp;E package, or a $150/month furnished amenity fee — worth about $30,800 a year of additional NOI (see section 9).</w:t>
      </w:r>
    </w:p>
    <w:p>
      <w:pPr>
        <w:pStyle w:val="ListBullet"/>
        <w:spacing w:after="60"/>
      </w:pPr>
      <w:r>
        <w:rPr>
          <w:rFonts w:ascii="Arial" w:hAnsi="Arial"/>
          <w:sz w:val="21"/>
        </w:rPr>
        <w:t>Further fee deferral, value engineering, and a unit mix tilted further toward 2BR layouts.</w:t>
      </w:r>
    </w:p>
    <w:p>
      <w:pPr>
        <w:pStyle w:val="Heading2"/>
        <w:keepNext/>
        <w:spacing w:after="80" w:before="240"/>
      </w:pPr>
      <w:r>
        <w:rPr>
          <w:rFonts w:ascii="Arial" w:hAnsi="Arial"/>
          <w:b/>
          <w:i w:val="0"/>
          <w:color w:val="1F2A44"/>
          <w:sz w:val="23"/>
        </w:rPr>
        <w:t>Timing bridge and last-resort hard money</w:t>
      </w:r>
    </w:p>
    <w:p>
      <w:pPr>
        <w:spacing w:after="160" w:before="0"/>
      </w:pPr>
      <w:r>
        <w:rPr>
          <w:b w:val="0"/>
          <w:i w:val="0"/>
          <w:sz w:val="21"/>
        </w:rPr>
        <w:t>The preferred bridge is an NIIF bridge loan at 5.0% secured by grant and credit pledges. Strategic hard money at about 12% plus 2.5% in points is a last resort: bridging the $2,869,874 pre-public gap for 24 months would cost roughly $760,517, which the project cannot absorb. 1816's existing Nextres note at 15% is exactly the trap this structure is meant to exit.</w:t>
      </w:r>
    </w:p>
    <w:p>
      <w:pPr>
        <w:pStyle w:val="Heading2"/>
        <w:keepNext/>
        <w:spacing w:after="80" w:before="240"/>
      </w:pPr>
      <w:r>
        <w:rPr>
          <w:rFonts w:ascii="Arial" w:hAnsi="Arial"/>
          <w:b/>
          <w:i w:val="0"/>
          <w:color w:val="1F2A44"/>
          <w:sz w:val="23"/>
        </w:rPr>
        <w:t>Not treated as sources</w:t>
      </w:r>
    </w:p>
    <w:p>
      <w:pPr>
        <w:spacing w:after="160" w:before="0"/>
      </w:pPr>
      <w:r>
        <w:rPr>
          <w:b w:val="0"/>
          <w:i w:val="0"/>
          <w:sz w:val="21"/>
        </w:rPr>
        <w:t>The CHAP 10-year credit — 100% of the City tax on the assessment increase — is modeled as an operating-expense reduction of $43,553 a year, not as a capital source. The January Exhibit D had listed it as a source; that has been corrected. Enterprise Zone credits and the historic tax credits cannot be combined with CHAP at this scale.</w:t>
      </w:r>
    </w:p>
    <w:p>
      <w:pPr>
        <w:pStyle w:val="Heading1"/>
        <w:keepNext/>
        <w:spacing w:after="120" w:before="320"/>
      </w:pPr>
      <w:r>
        <w:rPr>
          <w:rFonts w:ascii="Arial" w:hAnsi="Arial"/>
          <w:b/>
          <w:i w:val="0"/>
          <w:color w:val="1F2A44"/>
          <w:sz w:val="30"/>
        </w:rPr>
        <w:t>7. NIIF underwriting</w:t>
      </w:r>
    </w:p>
    <w:p>
      <w:pPr>
        <w:spacing w:after="160" w:before="0"/>
      </w:pPr>
      <w:r>
        <w:rPr>
          <w:b w:val="0"/>
          <w:i w:val="0"/>
          <w:sz w:val="21"/>
        </w:rPr>
        <w:t>The NIIF loan is sized as the lesser of three limits: a 1.25x debt service coverage ratio on comparable-supported market rents, 80% of as-completed value, and NIIF's $3M program cap. Sizing on market rather than target rents is deliberate — repayment does not depend on the rent premium the furnished program is expected to earn.</w:t>
      </w:r>
    </w:p>
    <w:tbl>
      <w:tblPr>
        <w:tblStyle w:val="TableGrid"/>
        <w:tblW w:type="auto" w:w="0"/>
        <w:jc w:val="center"/>
        <w:tblLook w:firstColumn="1" w:firstRow="1" w:lastColumn="0" w:lastRow="0" w:noHBand="0" w:noVBand="1" w:val="04A0"/>
      </w:tblPr>
      <w:tblGrid>
        <w:gridCol w:w="4824"/>
        <w:gridCol w:w="4824"/>
      </w:tblGrid>
      <w:tr>
        <w:tc>
          <w:tcPr>
            <w:tcW w:type="dxa" w:w="5760"/>
            <w:shd w:val="clear" w:fill="1F2A44"/>
          </w:tcPr>
          <w:p>
            <w:r/>
            <w:r>
              <w:rPr>
                <w:rFonts w:ascii="Arial" w:hAnsi="Arial"/>
                <w:b/>
                <w:color w:val="FFFFFF"/>
                <w:sz w:val="19"/>
              </w:rPr>
              <w:t>Loan sizing — 1818 + 1820</w:t>
            </w:r>
          </w:p>
        </w:tc>
        <w:tc>
          <w:tcPr>
            <w:tcW w:type="dxa" w:w="2304"/>
            <w:shd w:val="clear" w:fill="1F2A44"/>
          </w:tcPr>
          <w:p>
            <w:pPr>
              <w:jc w:val="right"/>
            </w:pPr>
            <w:r/>
            <w:r>
              <w:rPr>
                <w:rFonts w:ascii="Arial" w:hAnsi="Arial"/>
                <w:b/>
                <w:color w:val="FFFFFF"/>
                <w:sz w:val="19"/>
              </w:rPr>
              <w:t>Amount</w:t>
            </w:r>
          </w:p>
        </w:tc>
      </w:tr>
      <w:tr>
        <w:tc>
          <w:tcPr>
            <w:tcW w:type="dxa" w:w="5760"/>
          </w:tcPr>
          <w:p>
            <w:pPr>
              <w:spacing w:after="40" w:before="40"/>
            </w:pPr>
            <w:r/>
            <w:r>
              <w:rPr>
                <w:rFonts w:ascii="Arial" w:hAnsi="Arial"/>
                <w:b w:val="0"/>
                <w:sz w:val="19"/>
              </w:rPr>
              <w:t>NOI at market rents (with CHAP)</w:t>
            </w:r>
          </w:p>
        </w:tc>
        <w:tc>
          <w:tcPr>
            <w:tcW w:type="dxa" w:w="2304"/>
          </w:tcPr>
          <w:p>
            <w:pPr>
              <w:spacing w:after="40" w:before="40"/>
              <w:jc w:val="right"/>
            </w:pPr>
            <w:r/>
            <w:r>
              <w:rPr>
                <w:rFonts w:ascii="Arial" w:hAnsi="Arial"/>
                <w:b w:val="0"/>
                <w:sz w:val="19"/>
              </w:rPr>
              <w:t>$243,585</w:t>
            </w:r>
          </w:p>
        </w:tc>
      </w:tr>
      <w:tr>
        <w:tc>
          <w:tcPr>
            <w:tcW w:type="dxa" w:w="5760"/>
          </w:tcPr>
          <w:p>
            <w:pPr>
              <w:spacing w:after="40" w:before="40"/>
            </w:pPr>
            <w:r/>
            <w:r>
              <w:rPr>
                <w:rFonts w:ascii="Arial" w:hAnsi="Arial"/>
                <w:b w:val="0"/>
                <w:sz w:val="19"/>
              </w:rPr>
              <w:t>NOI at target rents (with CHAP)</w:t>
            </w:r>
          </w:p>
        </w:tc>
        <w:tc>
          <w:tcPr>
            <w:tcW w:type="dxa" w:w="2304"/>
          </w:tcPr>
          <w:p>
            <w:pPr>
              <w:spacing w:after="40" w:before="40"/>
              <w:jc w:val="right"/>
            </w:pPr>
            <w:r/>
            <w:r>
              <w:rPr>
                <w:rFonts w:ascii="Arial" w:hAnsi="Arial"/>
                <w:b w:val="0"/>
                <w:sz w:val="19"/>
              </w:rPr>
              <w:t>$255,442</w:t>
            </w:r>
          </w:p>
        </w:tc>
      </w:tr>
      <w:tr>
        <w:tc>
          <w:tcPr>
            <w:tcW w:type="dxa" w:w="5760"/>
          </w:tcPr>
          <w:p>
            <w:pPr>
              <w:spacing w:after="40" w:before="40"/>
            </w:pPr>
            <w:r/>
            <w:r>
              <w:rPr>
                <w:rFonts w:ascii="Arial" w:hAnsi="Arial"/>
                <w:b w:val="0"/>
                <w:sz w:val="19"/>
              </w:rPr>
              <w:t>Annual constant (5.0%, 25-year amortization)</w:t>
            </w:r>
          </w:p>
        </w:tc>
        <w:tc>
          <w:tcPr>
            <w:tcW w:type="dxa" w:w="2304"/>
          </w:tcPr>
          <w:p>
            <w:pPr>
              <w:spacing w:after="40" w:before="40"/>
              <w:jc w:val="right"/>
            </w:pPr>
            <w:r/>
            <w:r>
              <w:rPr>
                <w:rFonts w:ascii="Arial" w:hAnsi="Arial"/>
                <w:b w:val="0"/>
                <w:sz w:val="19"/>
              </w:rPr>
              <w:t>7.02%</w:t>
            </w:r>
          </w:p>
        </w:tc>
      </w:tr>
      <w:tr>
        <w:tc>
          <w:tcPr>
            <w:tcW w:type="dxa" w:w="5760"/>
          </w:tcPr>
          <w:p>
            <w:pPr>
              <w:spacing w:after="40" w:before="40"/>
            </w:pPr>
            <w:r/>
            <w:r>
              <w:rPr>
                <w:rFonts w:ascii="Arial" w:hAnsi="Arial"/>
                <w:b w:val="0"/>
                <w:sz w:val="19"/>
              </w:rPr>
              <w:t>Maximum loan at 1.25x DSCR</w:t>
            </w:r>
          </w:p>
        </w:tc>
        <w:tc>
          <w:tcPr>
            <w:tcW w:type="dxa" w:w="2304"/>
          </w:tcPr>
          <w:p>
            <w:pPr>
              <w:spacing w:after="40" w:before="40"/>
              <w:jc w:val="right"/>
            </w:pPr>
            <w:r/>
            <w:r>
              <w:rPr>
                <w:rFonts w:ascii="Arial" w:hAnsi="Arial"/>
                <w:b w:val="0"/>
                <w:sz w:val="19"/>
              </w:rPr>
              <w:t>$2,777,842</w:t>
            </w:r>
          </w:p>
        </w:tc>
      </w:tr>
      <w:tr>
        <w:tc>
          <w:tcPr>
            <w:tcW w:type="dxa" w:w="5760"/>
          </w:tcPr>
          <w:p>
            <w:pPr>
              <w:spacing w:after="40" w:before="40"/>
            </w:pPr>
            <w:r/>
            <w:r>
              <w:rPr>
                <w:rFonts w:ascii="Arial" w:hAnsi="Arial"/>
                <w:b w:val="0"/>
                <w:sz w:val="19"/>
              </w:rPr>
              <w:t>Stabilized value (7.5% cap rate)</w:t>
            </w:r>
          </w:p>
        </w:tc>
        <w:tc>
          <w:tcPr>
            <w:tcW w:type="dxa" w:w="2304"/>
          </w:tcPr>
          <w:p>
            <w:pPr>
              <w:spacing w:after="40" w:before="40"/>
              <w:jc w:val="right"/>
            </w:pPr>
            <w:r/>
            <w:r>
              <w:rPr>
                <w:rFonts w:ascii="Arial" w:hAnsi="Arial"/>
                <w:b w:val="0"/>
                <w:sz w:val="19"/>
              </w:rPr>
              <w:t>$3,405,893</w:t>
            </w:r>
          </w:p>
        </w:tc>
      </w:tr>
      <w:tr>
        <w:tc>
          <w:tcPr>
            <w:tcW w:type="dxa" w:w="5760"/>
          </w:tcPr>
          <w:p>
            <w:pPr>
              <w:spacing w:after="40" w:before="40"/>
            </w:pPr>
            <w:r/>
            <w:r>
              <w:rPr>
                <w:rFonts w:ascii="Arial" w:hAnsi="Arial"/>
                <w:b w:val="0"/>
                <w:sz w:val="19"/>
              </w:rPr>
              <w:t>Maximum loan at 80% LTV</w:t>
            </w:r>
          </w:p>
        </w:tc>
        <w:tc>
          <w:tcPr>
            <w:tcW w:type="dxa" w:w="2304"/>
          </w:tcPr>
          <w:p>
            <w:pPr>
              <w:spacing w:after="40" w:before="40"/>
              <w:jc w:val="right"/>
            </w:pPr>
            <w:r/>
            <w:r>
              <w:rPr>
                <w:rFonts w:ascii="Arial" w:hAnsi="Arial"/>
                <w:b w:val="0"/>
                <w:sz w:val="19"/>
              </w:rPr>
              <w:t>$2,724,714</w:t>
            </w:r>
          </w:p>
        </w:tc>
      </w:tr>
      <w:tr>
        <w:tc>
          <w:tcPr>
            <w:tcW w:type="dxa" w:w="5760"/>
          </w:tcPr>
          <w:p>
            <w:pPr>
              <w:spacing w:after="40" w:before="40"/>
            </w:pPr>
            <w:r/>
            <w:r>
              <w:rPr>
                <w:rFonts w:ascii="Arial" w:hAnsi="Arial"/>
                <w:b w:val="0"/>
                <w:sz w:val="19"/>
              </w:rPr>
              <w:t>NIIF program cap</w:t>
            </w:r>
          </w:p>
        </w:tc>
        <w:tc>
          <w:tcPr>
            <w:tcW w:type="dxa" w:w="2304"/>
          </w:tcPr>
          <w:p>
            <w:pPr>
              <w:spacing w:after="40" w:before="40"/>
              <w:jc w:val="right"/>
            </w:pPr>
            <w:r/>
            <w:r>
              <w:rPr>
                <w:rFonts w:ascii="Arial" w:hAnsi="Arial"/>
                <w:b w:val="0"/>
                <w:sz w:val="19"/>
              </w:rPr>
              <w:t>$3,000,000</w:t>
            </w:r>
          </w:p>
        </w:tc>
      </w:tr>
      <w:tr>
        <w:tc>
          <w:tcPr>
            <w:tcW w:type="dxa" w:w="5760"/>
            <w:shd w:val="clear" w:fill="F2F2F2"/>
          </w:tcPr>
          <w:p>
            <w:pPr>
              <w:spacing w:after="40" w:before="40"/>
            </w:pPr>
            <w:r/>
            <w:r>
              <w:rPr>
                <w:rFonts w:ascii="Arial" w:hAnsi="Arial"/>
                <w:b/>
                <w:sz w:val="19"/>
              </w:rPr>
              <w:t>NIIF loan (the lesser of the three)</w:t>
            </w:r>
          </w:p>
        </w:tc>
        <w:tc>
          <w:tcPr>
            <w:tcW w:type="dxa" w:w="2304"/>
            <w:shd w:val="clear" w:fill="F2F2F2"/>
          </w:tcPr>
          <w:p>
            <w:pPr>
              <w:spacing w:after="40" w:before="40"/>
              <w:jc w:val="right"/>
            </w:pPr>
            <w:r/>
            <w:r>
              <w:rPr>
                <w:rFonts w:ascii="Arial" w:hAnsi="Arial"/>
                <w:b/>
                <w:sz w:val="19"/>
              </w:rPr>
              <w:t>$2,724,000</w:t>
            </w:r>
          </w:p>
        </w:tc>
      </w:tr>
    </w:tbl>
    <w:p>
      <w:pPr>
        <w:spacing w:after="120" w:before="0"/>
      </w:pPr>
      <w:r>
        <w:rPr>
          <w:b w:val="0"/>
          <w:i w:val="0"/>
          <w:sz w:val="8"/>
        </w:rPr>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3744"/>
            <w:shd w:val="clear" w:fill="1F2A44"/>
          </w:tcPr>
          <w:p>
            <w:r/>
            <w:r>
              <w:rPr>
                <w:rFonts w:ascii="Arial" w:hAnsi="Arial"/>
                <w:b/>
                <w:color w:val="FFFFFF"/>
                <w:sz w:val="19"/>
              </w:rPr>
              <w:t>Metric</w:t>
            </w:r>
          </w:p>
        </w:tc>
        <w:tc>
          <w:tcPr>
            <w:tcW w:type="dxa" w:w="1656"/>
            <w:shd w:val="clear" w:fill="1F2A44"/>
          </w:tcPr>
          <w:p>
            <w:pPr>
              <w:jc w:val="right"/>
            </w:pPr>
            <w:r/>
            <w:r>
              <w:rPr>
                <w:rFonts w:ascii="Arial" w:hAnsi="Arial"/>
                <w:b/>
                <w:color w:val="FFFFFF"/>
                <w:sz w:val="19"/>
              </w:rPr>
              <w:t>1816</w:t>
            </w:r>
          </w:p>
        </w:tc>
        <w:tc>
          <w:tcPr>
            <w:tcW w:type="dxa" w:w="1944"/>
            <w:shd w:val="clear" w:fill="1F2A44"/>
          </w:tcPr>
          <w:p>
            <w:pPr>
              <w:jc w:val="right"/>
            </w:pPr>
            <w:r/>
            <w:r>
              <w:rPr>
                <w:rFonts w:ascii="Arial" w:hAnsi="Arial"/>
                <w:b/>
                <w:color w:val="FFFFFF"/>
                <w:sz w:val="19"/>
              </w:rPr>
              <w:t>1818 + 1820</w:t>
            </w:r>
          </w:p>
        </w:tc>
        <w:tc>
          <w:tcPr>
            <w:tcW w:type="dxa" w:w="1656"/>
            <w:shd w:val="clear" w:fill="1F2A44"/>
          </w:tcPr>
          <w:p>
            <w:pPr>
              <w:jc w:val="right"/>
            </w:pPr>
            <w:r/>
            <w:r>
              <w:rPr>
                <w:rFonts w:ascii="Arial" w:hAnsi="Arial"/>
                <w:b/>
                <w:color w:val="FFFFFF"/>
                <w:sz w:val="19"/>
              </w:rPr>
              <w:t>All parcels</w:t>
            </w:r>
          </w:p>
        </w:tc>
      </w:tr>
      <w:tr>
        <w:tc>
          <w:tcPr>
            <w:tcW w:type="dxa" w:w="3744"/>
          </w:tcPr>
          <w:p>
            <w:pPr>
              <w:spacing w:after="40" w:before="40"/>
            </w:pPr>
            <w:r/>
            <w:r>
              <w:rPr>
                <w:rFonts w:ascii="Arial" w:hAnsi="Arial"/>
                <w:b w:val="0"/>
                <w:sz w:val="19"/>
              </w:rPr>
              <w:t>Permanent debt</w:t>
            </w:r>
          </w:p>
        </w:tc>
        <w:tc>
          <w:tcPr>
            <w:tcW w:type="dxa" w:w="1656"/>
          </w:tcPr>
          <w:p>
            <w:pPr>
              <w:spacing w:after="40" w:before="40"/>
              <w:jc w:val="right"/>
            </w:pPr>
            <w:r/>
            <w:r>
              <w:rPr>
                <w:rFonts w:ascii="Arial" w:hAnsi="Arial"/>
                <w:b w:val="0"/>
                <w:sz w:val="19"/>
              </w:rPr>
              <w:t>$782,036</w:t>
            </w:r>
          </w:p>
        </w:tc>
        <w:tc>
          <w:tcPr>
            <w:tcW w:type="dxa" w:w="1944"/>
          </w:tcPr>
          <w:p>
            <w:pPr>
              <w:spacing w:after="40" w:before="40"/>
              <w:jc w:val="right"/>
            </w:pPr>
            <w:r/>
            <w:r>
              <w:rPr>
                <w:rFonts w:ascii="Arial" w:hAnsi="Arial"/>
                <w:b w:val="0"/>
                <w:sz w:val="19"/>
              </w:rPr>
              <w:t>$2,724,000</w:t>
            </w:r>
          </w:p>
        </w:tc>
        <w:tc>
          <w:tcPr>
            <w:tcW w:type="dxa" w:w="1656"/>
          </w:tcPr>
          <w:p>
            <w:pPr>
              <w:spacing w:after="40" w:before="40"/>
              <w:jc w:val="right"/>
            </w:pPr>
            <w:r/>
            <w:r>
              <w:rPr>
                <w:rFonts w:ascii="Arial" w:hAnsi="Arial"/>
                <w:b w:val="0"/>
                <w:sz w:val="19"/>
              </w:rPr>
              <w:t>$3,506,036</w:t>
            </w:r>
          </w:p>
        </w:tc>
      </w:tr>
      <w:tr>
        <w:tc>
          <w:tcPr>
            <w:tcW w:type="dxa" w:w="3744"/>
          </w:tcPr>
          <w:p>
            <w:pPr>
              <w:spacing w:after="40" w:before="40"/>
            </w:pPr>
            <w:r/>
            <w:r>
              <w:rPr>
                <w:rFonts w:ascii="Arial" w:hAnsi="Arial"/>
                <w:b w:val="0"/>
                <w:sz w:val="19"/>
              </w:rPr>
              <w:t>Annual debt service</w:t>
            </w:r>
          </w:p>
        </w:tc>
        <w:tc>
          <w:tcPr>
            <w:tcW w:type="dxa" w:w="1656"/>
          </w:tcPr>
          <w:p>
            <w:pPr>
              <w:spacing w:after="40" w:before="40"/>
              <w:jc w:val="right"/>
            </w:pPr>
            <w:r/>
            <w:r>
              <w:rPr>
                <w:rFonts w:ascii="Arial" w:hAnsi="Arial"/>
                <w:b w:val="0"/>
                <w:sz w:val="19"/>
              </w:rPr>
              <w:t>$67,831</w:t>
            </w:r>
          </w:p>
        </w:tc>
        <w:tc>
          <w:tcPr>
            <w:tcW w:type="dxa" w:w="1944"/>
          </w:tcPr>
          <w:p>
            <w:pPr>
              <w:spacing w:after="40" w:before="40"/>
              <w:jc w:val="right"/>
            </w:pPr>
            <w:r/>
            <w:r>
              <w:rPr>
                <w:rFonts w:ascii="Arial" w:hAnsi="Arial"/>
                <w:b w:val="0"/>
                <w:sz w:val="19"/>
              </w:rPr>
              <w:t>$191,091</w:t>
            </w:r>
          </w:p>
        </w:tc>
        <w:tc>
          <w:tcPr>
            <w:tcW w:type="dxa" w:w="1656"/>
          </w:tcPr>
          <w:p>
            <w:pPr>
              <w:spacing w:after="40" w:before="40"/>
              <w:jc w:val="right"/>
            </w:pPr>
            <w:r/>
            <w:r>
              <w:rPr>
                <w:rFonts w:ascii="Arial" w:hAnsi="Arial"/>
                <w:b w:val="0"/>
                <w:sz w:val="19"/>
              </w:rPr>
              <w:t>$258,922</w:t>
            </w:r>
          </w:p>
        </w:tc>
      </w:tr>
      <w:tr>
        <w:tc>
          <w:tcPr>
            <w:tcW w:type="dxa" w:w="3744"/>
          </w:tcPr>
          <w:p>
            <w:pPr>
              <w:spacing w:after="40" w:before="40"/>
            </w:pPr>
            <w:r/>
            <w:r>
              <w:rPr>
                <w:rFonts w:ascii="Arial" w:hAnsi="Arial"/>
                <w:b w:val="0"/>
                <w:sz w:val="19"/>
              </w:rPr>
              <w:t>DSCR — target rents</w:t>
            </w:r>
          </w:p>
        </w:tc>
        <w:tc>
          <w:tcPr>
            <w:tcW w:type="dxa" w:w="1656"/>
          </w:tcPr>
          <w:p>
            <w:pPr>
              <w:spacing w:after="40" w:before="40"/>
              <w:jc w:val="right"/>
            </w:pPr>
            <w:r/>
            <w:r>
              <w:rPr>
                <w:rFonts w:ascii="Arial" w:hAnsi="Arial"/>
                <w:b w:val="0"/>
                <w:sz w:val="19"/>
              </w:rPr>
              <w:t>1.78x</w:t>
            </w:r>
          </w:p>
        </w:tc>
        <w:tc>
          <w:tcPr>
            <w:tcW w:type="dxa" w:w="1944"/>
          </w:tcPr>
          <w:p>
            <w:pPr>
              <w:spacing w:after="40" w:before="40"/>
              <w:jc w:val="right"/>
            </w:pPr>
            <w:r/>
            <w:r>
              <w:rPr>
                <w:rFonts w:ascii="Arial" w:hAnsi="Arial"/>
                <w:b w:val="0"/>
                <w:sz w:val="19"/>
              </w:rPr>
              <w:t>1.34x</w:t>
            </w:r>
          </w:p>
        </w:tc>
        <w:tc>
          <w:tcPr>
            <w:tcW w:type="dxa" w:w="1656"/>
          </w:tcPr>
          <w:p>
            <w:pPr>
              <w:spacing w:after="40" w:before="40"/>
              <w:jc w:val="right"/>
            </w:pPr>
            <w:r/>
            <w:r>
              <w:rPr>
                <w:rFonts w:ascii="Arial" w:hAnsi="Arial"/>
                <w:b w:val="0"/>
                <w:sz w:val="19"/>
              </w:rPr>
              <w:t>1.45x</w:t>
            </w:r>
          </w:p>
        </w:tc>
      </w:tr>
      <w:tr>
        <w:tc>
          <w:tcPr>
            <w:tcW w:type="dxa" w:w="3744"/>
          </w:tcPr>
          <w:p>
            <w:pPr>
              <w:spacing w:after="40" w:before="40"/>
            </w:pPr>
            <w:r/>
            <w:r>
              <w:rPr>
                <w:rFonts w:ascii="Arial" w:hAnsi="Arial"/>
                <w:b w:val="0"/>
                <w:sz w:val="19"/>
              </w:rPr>
              <w:t>DSCR — market rents</w:t>
            </w:r>
          </w:p>
        </w:tc>
        <w:tc>
          <w:tcPr>
            <w:tcW w:type="dxa" w:w="1656"/>
          </w:tcPr>
          <w:p>
            <w:pPr>
              <w:spacing w:after="40" w:before="40"/>
              <w:jc w:val="right"/>
            </w:pPr>
            <w:r/>
            <w:r>
              <w:rPr>
                <w:rFonts w:ascii="Arial" w:hAnsi="Arial"/>
                <w:b w:val="0"/>
                <w:sz w:val="19"/>
              </w:rPr>
              <w:t>—</w:t>
            </w:r>
          </w:p>
        </w:tc>
        <w:tc>
          <w:tcPr>
            <w:tcW w:type="dxa" w:w="1944"/>
          </w:tcPr>
          <w:p>
            <w:pPr>
              <w:spacing w:after="40" w:before="40"/>
              <w:jc w:val="right"/>
            </w:pPr>
            <w:r/>
            <w:r>
              <w:rPr>
                <w:rFonts w:ascii="Arial" w:hAnsi="Arial"/>
                <w:b w:val="0"/>
                <w:sz w:val="19"/>
              </w:rPr>
              <w:t>1.27x</w:t>
            </w:r>
          </w:p>
        </w:tc>
        <w:tc>
          <w:tcPr>
            <w:tcW w:type="dxa" w:w="1656"/>
          </w:tcPr>
          <w:p>
            <w:pPr>
              <w:spacing w:after="40" w:before="40"/>
              <w:jc w:val="right"/>
            </w:pPr>
            <w:r/>
            <w:r>
              <w:rPr>
                <w:rFonts w:ascii="Arial" w:hAnsi="Arial"/>
                <w:b w:val="0"/>
                <w:sz w:val="19"/>
              </w:rPr>
              <w:t>1.26x</w:t>
            </w:r>
          </w:p>
        </w:tc>
      </w:tr>
      <w:tr>
        <w:tc>
          <w:tcPr>
            <w:tcW w:type="dxa" w:w="3744"/>
          </w:tcPr>
          <w:p>
            <w:pPr>
              <w:spacing w:after="40" w:before="40"/>
            </w:pPr>
            <w:r/>
            <w:r>
              <w:rPr>
                <w:rFonts w:ascii="Arial" w:hAnsi="Arial"/>
                <w:b w:val="0"/>
                <w:sz w:val="19"/>
              </w:rPr>
              <w:t>DSCR — excluding the CHAP credit</w:t>
            </w:r>
          </w:p>
        </w:tc>
        <w:tc>
          <w:tcPr>
            <w:tcW w:type="dxa" w:w="1656"/>
          </w:tcPr>
          <w:p>
            <w:pPr>
              <w:spacing w:after="40" w:before="40"/>
              <w:jc w:val="right"/>
            </w:pPr>
            <w:r/>
            <w:r>
              <w:rPr>
                <w:rFonts w:ascii="Arial" w:hAnsi="Arial"/>
                <w:b w:val="0"/>
                <w:sz w:val="19"/>
              </w:rPr>
              <w:t>—</w:t>
            </w:r>
          </w:p>
        </w:tc>
        <w:tc>
          <w:tcPr>
            <w:tcW w:type="dxa" w:w="1944"/>
          </w:tcPr>
          <w:p>
            <w:pPr>
              <w:spacing w:after="40" w:before="40"/>
              <w:jc w:val="right"/>
            </w:pPr>
            <w:r/>
            <w:r>
              <w:rPr>
                <w:rFonts w:ascii="Arial" w:hAnsi="Arial"/>
                <w:b w:val="0"/>
                <w:sz w:val="19"/>
              </w:rPr>
              <w:t>1.11x</w:t>
            </w:r>
          </w:p>
        </w:tc>
        <w:tc>
          <w:tcPr>
            <w:tcW w:type="dxa" w:w="1656"/>
          </w:tcPr>
          <w:p>
            <w:pPr>
              <w:spacing w:after="40" w:before="40"/>
              <w:jc w:val="right"/>
            </w:pPr>
            <w:r/>
            <w:r>
              <w:rPr>
                <w:rFonts w:ascii="Arial" w:hAnsi="Arial"/>
                <w:b w:val="0"/>
                <w:sz w:val="19"/>
              </w:rPr>
              <w:t>—</w:t>
            </w:r>
          </w:p>
        </w:tc>
      </w:tr>
      <w:tr>
        <w:tc>
          <w:tcPr>
            <w:tcW w:type="dxa" w:w="3744"/>
          </w:tcPr>
          <w:p>
            <w:pPr>
              <w:spacing w:after="40" w:before="40"/>
            </w:pPr>
            <w:r/>
            <w:r>
              <w:rPr>
                <w:rFonts w:ascii="Arial" w:hAnsi="Arial"/>
                <w:b w:val="0"/>
                <w:sz w:val="19"/>
              </w:rPr>
              <w:t>LTV (as-completed)</w:t>
            </w:r>
          </w:p>
        </w:tc>
        <w:tc>
          <w:tcPr>
            <w:tcW w:type="dxa" w:w="1656"/>
          </w:tcPr>
          <w:p>
            <w:pPr>
              <w:spacing w:after="40" w:before="40"/>
              <w:jc w:val="right"/>
            </w:pPr>
            <w:r/>
            <w:r>
              <w:rPr>
                <w:rFonts w:ascii="Arial" w:hAnsi="Arial"/>
                <w:b w:val="0"/>
                <w:sz w:val="19"/>
              </w:rPr>
              <w:t>48.4%</w:t>
            </w:r>
          </w:p>
        </w:tc>
        <w:tc>
          <w:tcPr>
            <w:tcW w:type="dxa" w:w="1944"/>
          </w:tcPr>
          <w:p>
            <w:pPr>
              <w:spacing w:after="40" w:before="40"/>
              <w:jc w:val="right"/>
            </w:pPr>
            <w:r/>
            <w:r>
              <w:rPr>
                <w:rFonts w:ascii="Arial" w:hAnsi="Arial"/>
                <w:b w:val="0"/>
                <w:sz w:val="19"/>
              </w:rPr>
              <w:t>80.0%</w:t>
            </w:r>
          </w:p>
        </w:tc>
        <w:tc>
          <w:tcPr>
            <w:tcW w:type="dxa" w:w="1656"/>
          </w:tcPr>
          <w:p>
            <w:pPr>
              <w:spacing w:after="40" w:before="40"/>
              <w:jc w:val="right"/>
            </w:pPr>
            <w:r/>
            <w:r>
              <w:rPr>
                <w:rFonts w:ascii="Arial" w:hAnsi="Arial"/>
                <w:b w:val="0"/>
                <w:sz w:val="19"/>
              </w:rPr>
              <w:t>69.8%</w:t>
            </w:r>
          </w:p>
        </w:tc>
      </w:tr>
      <w:tr>
        <w:tc>
          <w:tcPr>
            <w:tcW w:type="dxa" w:w="3744"/>
          </w:tcPr>
          <w:p>
            <w:pPr>
              <w:spacing w:after="40" w:before="40"/>
            </w:pPr>
            <w:r/>
            <w:r>
              <w:rPr>
                <w:rFonts w:ascii="Arial" w:hAnsi="Arial"/>
                <w:b w:val="0"/>
                <w:sz w:val="19"/>
              </w:rPr>
              <w:t>LTC</w:t>
            </w:r>
          </w:p>
        </w:tc>
        <w:tc>
          <w:tcPr>
            <w:tcW w:type="dxa" w:w="1656"/>
          </w:tcPr>
          <w:p>
            <w:pPr>
              <w:spacing w:after="40" w:before="40"/>
              <w:jc w:val="right"/>
            </w:pPr>
            <w:r/>
            <w:r>
              <w:rPr>
                <w:rFonts w:ascii="Arial" w:hAnsi="Arial"/>
                <w:b w:val="0"/>
                <w:sz w:val="19"/>
              </w:rPr>
              <w:t>37.7%</w:t>
            </w:r>
          </w:p>
        </w:tc>
        <w:tc>
          <w:tcPr>
            <w:tcW w:type="dxa" w:w="1944"/>
          </w:tcPr>
          <w:p>
            <w:pPr>
              <w:spacing w:after="40" w:before="40"/>
              <w:jc w:val="right"/>
            </w:pPr>
            <w:r/>
            <w:r>
              <w:rPr>
                <w:rFonts w:ascii="Arial" w:hAnsi="Arial"/>
                <w:b w:val="0"/>
                <w:sz w:val="19"/>
              </w:rPr>
              <w:t>44.2%</w:t>
            </w:r>
          </w:p>
        </w:tc>
        <w:tc>
          <w:tcPr>
            <w:tcW w:type="dxa" w:w="1656"/>
          </w:tcPr>
          <w:p>
            <w:pPr>
              <w:spacing w:after="40" w:before="40"/>
              <w:jc w:val="right"/>
            </w:pPr>
            <w:r/>
            <w:r>
              <w:rPr>
                <w:rFonts w:ascii="Arial" w:hAnsi="Arial"/>
                <w:b w:val="0"/>
                <w:sz w:val="19"/>
              </w:rPr>
              <w:t>42.6%</w:t>
            </w:r>
          </w:p>
        </w:tc>
      </w:tr>
      <w:tr>
        <w:tc>
          <w:tcPr>
            <w:tcW w:type="dxa" w:w="3744"/>
          </w:tcPr>
          <w:p>
            <w:pPr>
              <w:spacing w:after="40" w:before="40"/>
            </w:pPr>
            <w:r/>
            <w:r>
              <w:rPr>
                <w:rFonts w:ascii="Arial" w:hAnsi="Arial"/>
                <w:b w:val="0"/>
                <w:sz w:val="19"/>
              </w:rPr>
              <w:t>Debt yield</w:t>
            </w:r>
          </w:p>
        </w:tc>
        <w:tc>
          <w:tcPr>
            <w:tcW w:type="dxa" w:w="1656"/>
          </w:tcPr>
          <w:p>
            <w:pPr>
              <w:spacing w:after="40" w:before="40"/>
              <w:jc w:val="right"/>
            </w:pPr>
            <w:r/>
            <w:r>
              <w:rPr>
                <w:rFonts w:ascii="Arial" w:hAnsi="Arial"/>
                <w:b w:val="0"/>
                <w:sz w:val="19"/>
              </w:rPr>
              <w:t>15.5%</w:t>
            </w:r>
          </w:p>
        </w:tc>
        <w:tc>
          <w:tcPr>
            <w:tcW w:type="dxa" w:w="1944"/>
          </w:tcPr>
          <w:p>
            <w:pPr>
              <w:spacing w:after="40" w:before="40"/>
              <w:jc w:val="right"/>
            </w:pPr>
            <w:r/>
            <w:r>
              <w:rPr>
                <w:rFonts w:ascii="Arial" w:hAnsi="Arial"/>
                <w:b w:val="0"/>
                <w:sz w:val="19"/>
              </w:rPr>
              <w:t>9.4%</w:t>
            </w:r>
          </w:p>
        </w:tc>
        <w:tc>
          <w:tcPr>
            <w:tcW w:type="dxa" w:w="1656"/>
          </w:tcPr>
          <w:p>
            <w:pPr>
              <w:spacing w:after="40" w:before="40"/>
              <w:jc w:val="right"/>
            </w:pPr>
            <w:r/>
            <w:r>
              <w:rPr>
                <w:rFonts w:ascii="Arial" w:hAnsi="Arial"/>
                <w:b w:val="0"/>
                <w:sz w:val="19"/>
              </w:rPr>
              <w:t>10.7%</w:t>
            </w:r>
          </w:p>
        </w:tc>
      </w:tr>
    </w:tbl>
    <w:p>
      <w:pPr>
        <w:spacing w:after="120" w:before="0"/>
      </w:pPr>
      <w:r>
        <w:rPr>
          <w:b w:val="0"/>
          <w:i w:val="0"/>
          <w:sz w:val="8"/>
        </w:rPr>
      </w:r>
    </w:p>
    <w:p>
      <w:pPr>
        <w:pStyle w:val="Heading2"/>
        <w:keepNext/>
        <w:spacing w:after="80" w:before="240"/>
      </w:pPr>
      <w:r>
        <w:rPr>
          <w:rFonts w:ascii="Arial" w:hAnsi="Arial"/>
          <w:b/>
          <w:i w:val="0"/>
          <w:color w:val="1F2A44"/>
          <w:sz w:val="23"/>
        </w:rPr>
        <w:t>Covenant tests</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3744"/>
            <w:shd w:val="clear" w:fill="1F2A44"/>
          </w:tcPr>
          <w:p>
            <w:r/>
            <w:r>
              <w:rPr>
                <w:rFonts w:ascii="Arial" w:hAnsi="Arial"/>
                <w:b/>
                <w:color w:val="FFFFFF"/>
                <w:sz w:val="19"/>
              </w:rPr>
              <w:t>Test</w:t>
            </w:r>
          </w:p>
        </w:tc>
        <w:tc>
          <w:tcPr>
            <w:tcW w:type="dxa" w:w="2016"/>
            <w:shd w:val="clear" w:fill="1F2A44"/>
          </w:tcPr>
          <w:p>
            <w:pPr>
              <w:jc w:val="right"/>
            </w:pPr>
            <w:r/>
            <w:r>
              <w:rPr>
                <w:rFonts w:ascii="Arial" w:hAnsi="Arial"/>
                <w:b/>
                <w:color w:val="FFFFFF"/>
                <w:sz w:val="19"/>
              </w:rPr>
              <w:t>Requirement</w:t>
            </w:r>
          </w:p>
        </w:tc>
        <w:tc>
          <w:tcPr>
            <w:tcW w:type="dxa" w:w="1728"/>
            <w:shd w:val="clear" w:fill="1F2A44"/>
          </w:tcPr>
          <w:p>
            <w:pPr>
              <w:jc w:val="right"/>
            </w:pPr>
            <w:r/>
            <w:r>
              <w:rPr>
                <w:rFonts w:ascii="Arial" w:hAnsi="Arial"/>
                <w:b/>
                <w:color w:val="FFFFFF"/>
                <w:sz w:val="19"/>
              </w:rPr>
              <w:t>Result</w:t>
            </w:r>
          </w:p>
        </w:tc>
        <w:tc>
          <w:tcPr>
            <w:tcW w:type="dxa" w:w="1152"/>
            <w:shd w:val="clear" w:fill="1F2A44"/>
          </w:tcPr>
          <w:p>
            <w:r/>
            <w:r>
              <w:rPr>
                <w:rFonts w:ascii="Arial" w:hAnsi="Arial"/>
                <w:b/>
                <w:color w:val="FFFFFF"/>
                <w:sz w:val="19"/>
              </w:rPr>
            </w:r>
          </w:p>
        </w:tc>
      </w:tr>
      <w:tr>
        <w:tc>
          <w:tcPr>
            <w:tcW w:type="dxa" w:w="3744"/>
          </w:tcPr>
          <w:p>
            <w:pPr>
              <w:spacing w:after="40" w:before="40"/>
            </w:pPr>
            <w:r/>
            <w:r>
              <w:rPr>
                <w:rFonts w:ascii="Arial" w:hAnsi="Arial"/>
                <w:b w:val="0"/>
                <w:sz w:val="19"/>
              </w:rPr>
              <w:t>DSCR at market rents (NIIF)</w:t>
            </w:r>
          </w:p>
        </w:tc>
        <w:tc>
          <w:tcPr>
            <w:tcW w:type="dxa" w:w="2016"/>
          </w:tcPr>
          <w:p>
            <w:pPr>
              <w:spacing w:after="40" w:before="40"/>
              <w:jc w:val="right"/>
            </w:pPr>
            <w:r/>
            <w:r>
              <w:rPr>
                <w:rFonts w:ascii="Arial" w:hAnsi="Arial"/>
                <w:b w:val="0"/>
                <w:sz w:val="19"/>
              </w:rPr>
              <w:t>≥ 1.25x</w:t>
            </w:r>
          </w:p>
        </w:tc>
        <w:tc>
          <w:tcPr>
            <w:tcW w:type="dxa" w:w="1728"/>
          </w:tcPr>
          <w:p>
            <w:pPr>
              <w:spacing w:after="40" w:before="40"/>
              <w:jc w:val="right"/>
            </w:pPr>
            <w:r/>
            <w:r>
              <w:rPr>
                <w:rFonts w:ascii="Arial" w:hAnsi="Arial"/>
                <w:b w:val="0"/>
                <w:sz w:val="19"/>
              </w:rPr>
              <w:t>1.27x</w:t>
            </w:r>
          </w:p>
        </w:tc>
        <w:tc>
          <w:tcPr>
            <w:tcW w:type="dxa" w:w="1152"/>
          </w:tcPr>
          <w:p>
            <w:pPr>
              <w:spacing w:after="40" w:before="40"/>
            </w:pPr>
            <w:r/>
            <w:r>
              <w:rPr>
                <w:rFonts w:ascii="Arial" w:hAnsi="Arial"/>
                <w:b w:val="0"/>
                <w:sz w:val="19"/>
              </w:rPr>
              <w:t>PASS</w:t>
            </w:r>
          </w:p>
        </w:tc>
      </w:tr>
      <w:tr>
        <w:tc>
          <w:tcPr>
            <w:tcW w:type="dxa" w:w="3744"/>
          </w:tcPr>
          <w:p>
            <w:pPr>
              <w:spacing w:after="40" w:before="40"/>
            </w:pPr>
            <w:r/>
            <w:r>
              <w:rPr>
                <w:rFonts w:ascii="Arial" w:hAnsi="Arial"/>
                <w:b w:val="0"/>
                <w:sz w:val="19"/>
              </w:rPr>
              <w:t>Consolidated DSCR</w:t>
            </w:r>
          </w:p>
        </w:tc>
        <w:tc>
          <w:tcPr>
            <w:tcW w:type="dxa" w:w="2016"/>
          </w:tcPr>
          <w:p>
            <w:pPr>
              <w:spacing w:after="40" w:before="40"/>
              <w:jc w:val="right"/>
            </w:pPr>
            <w:r/>
            <w:r>
              <w:rPr>
                <w:rFonts w:ascii="Arial" w:hAnsi="Arial"/>
                <w:b w:val="0"/>
                <w:sz w:val="19"/>
              </w:rPr>
              <w:t>≥ 1.25x</w:t>
            </w:r>
          </w:p>
        </w:tc>
        <w:tc>
          <w:tcPr>
            <w:tcW w:type="dxa" w:w="1728"/>
          </w:tcPr>
          <w:p>
            <w:pPr>
              <w:spacing w:after="40" w:before="40"/>
              <w:jc w:val="right"/>
            </w:pPr>
            <w:r/>
            <w:r>
              <w:rPr>
                <w:rFonts w:ascii="Arial" w:hAnsi="Arial"/>
                <w:b w:val="0"/>
                <w:sz w:val="19"/>
              </w:rPr>
              <w:t>1.45x</w:t>
            </w:r>
          </w:p>
        </w:tc>
        <w:tc>
          <w:tcPr>
            <w:tcW w:type="dxa" w:w="1152"/>
          </w:tcPr>
          <w:p>
            <w:pPr>
              <w:spacing w:after="40" w:before="40"/>
            </w:pPr>
            <w:r/>
            <w:r>
              <w:rPr>
                <w:rFonts w:ascii="Arial" w:hAnsi="Arial"/>
                <w:b w:val="0"/>
                <w:sz w:val="19"/>
              </w:rPr>
              <w:t>PASS</w:t>
            </w:r>
          </w:p>
        </w:tc>
      </w:tr>
      <w:tr>
        <w:tc>
          <w:tcPr>
            <w:tcW w:type="dxa" w:w="3744"/>
          </w:tcPr>
          <w:p>
            <w:pPr>
              <w:spacing w:after="40" w:before="40"/>
            </w:pPr>
            <w:r/>
            <w:r>
              <w:rPr>
                <w:rFonts w:ascii="Arial" w:hAnsi="Arial"/>
                <w:b w:val="0"/>
                <w:sz w:val="19"/>
              </w:rPr>
              <w:t>LTV (as-completed)</w:t>
            </w:r>
          </w:p>
        </w:tc>
        <w:tc>
          <w:tcPr>
            <w:tcW w:type="dxa" w:w="2016"/>
          </w:tcPr>
          <w:p>
            <w:pPr>
              <w:spacing w:after="40" w:before="40"/>
              <w:jc w:val="right"/>
            </w:pPr>
            <w:r/>
            <w:r>
              <w:rPr>
                <w:rFonts w:ascii="Arial" w:hAnsi="Arial"/>
                <w:b w:val="0"/>
                <w:sz w:val="19"/>
              </w:rPr>
              <w:t>≤ 80%</w:t>
            </w:r>
          </w:p>
        </w:tc>
        <w:tc>
          <w:tcPr>
            <w:tcW w:type="dxa" w:w="1728"/>
          </w:tcPr>
          <w:p>
            <w:pPr>
              <w:spacing w:after="40" w:before="40"/>
              <w:jc w:val="right"/>
            </w:pPr>
            <w:r/>
            <w:r>
              <w:rPr>
                <w:rFonts w:ascii="Arial" w:hAnsi="Arial"/>
                <w:b w:val="0"/>
                <w:sz w:val="19"/>
              </w:rPr>
              <w:t>80.0%</w:t>
            </w:r>
          </w:p>
        </w:tc>
        <w:tc>
          <w:tcPr>
            <w:tcW w:type="dxa" w:w="1152"/>
          </w:tcPr>
          <w:p>
            <w:pPr>
              <w:spacing w:after="40" w:before="40"/>
            </w:pPr>
            <w:r/>
            <w:r>
              <w:rPr>
                <w:rFonts w:ascii="Arial" w:hAnsi="Arial"/>
                <w:b w:val="0"/>
                <w:sz w:val="19"/>
              </w:rPr>
              <w:t>PASS</w:t>
            </w:r>
          </w:p>
        </w:tc>
      </w:tr>
      <w:tr>
        <w:tc>
          <w:tcPr>
            <w:tcW w:type="dxa" w:w="3744"/>
          </w:tcPr>
          <w:p>
            <w:pPr>
              <w:spacing w:after="40" w:before="40"/>
            </w:pPr>
            <w:r/>
            <w:r>
              <w:rPr>
                <w:rFonts w:ascii="Arial" w:hAnsi="Arial"/>
                <w:b w:val="0"/>
                <w:sz w:val="19"/>
              </w:rPr>
              <w:t>LTC</w:t>
            </w:r>
          </w:p>
        </w:tc>
        <w:tc>
          <w:tcPr>
            <w:tcW w:type="dxa" w:w="2016"/>
          </w:tcPr>
          <w:p>
            <w:pPr>
              <w:spacing w:after="40" w:before="40"/>
              <w:jc w:val="right"/>
            </w:pPr>
            <w:r/>
            <w:r>
              <w:rPr>
                <w:rFonts w:ascii="Arial" w:hAnsi="Arial"/>
                <w:b w:val="0"/>
                <w:sz w:val="19"/>
              </w:rPr>
              <w:t>≤ 80%</w:t>
            </w:r>
          </w:p>
        </w:tc>
        <w:tc>
          <w:tcPr>
            <w:tcW w:type="dxa" w:w="1728"/>
          </w:tcPr>
          <w:p>
            <w:pPr>
              <w:spacing w:after="40" w:before="40"/>
              <w:jc w:val="right"/>
            </w:pPr>
            <w:r/>
            <w:r>
              <w:rPr>
                <w:rFonts w:ascii="Arial" w:hAnsi="Arial"/>
                <w:b w:val="0"/>
                <w:sz w:val="19"/>
              </w:rPr>
              <w:t>44.2%</w:t>
            </w:r>
          </w:p>
        </w:tc>
        <w:tc>
          <w:tcPr>
            <w:tcW w:type="dxa" w:w="1152"/>
          </w:tcPr>
          <w:p>
            <w:pPr>
              <w:spacing w:after="40" w:before="40"/>
            </w:pPr>
            <w:r/>
            <w:r>
              <w:rPr>
                <w:rFonts w:ascii="Arial" w:hAnsi="Arial"/>
                <w:b w:val="0"/>
                <w:sz w:val="19"/>
              </w:rPr>
              <w:t>PASS</w:t>
            </w:r>
          </w:p>
        </w:tc>
      </w:tr>
      <w:tr>
        <w:tc>
          <w:tcPr>
            <w:tcW w:type="dxa" w:w="3744"/>
          </w:tcPr>
          <w:p>
            <w:pPr>
              <w:spacing w:after="40" w:before="40"/>
            </w:pPr>
            <w:r/>
            <w:r>
              <w:rPr>
                <w:rFonts w:ascii="Arial" w:hAnsi="Arial"/>
                <w:b w:val="0"/>
                <w:sz w:val="19"/>
              </w:rPr>
              <w:t>Loan size</w:t>
            </w:r>
          </w:p>
        </w:tc>
        <w:tc>
          <w:tcPr>
            <w:tcW w:type="dxa" w:w="2016"/>
          </w:tcPr>
          <w:p>
            <w:pPr>
              <w:spacing w:after="40" w:before="40"/>
              <w:jc w:val="right"/>
            </w:pPr>
            <w:r/>
            <w:r>
              <w:rPr>
                <w:rFonts w:ascii="Arial" w:hAnsi="Arial"/>
                <w:b w:val="0"/>
                <w:sz w:val="19"/>
              </w:rPr>
              <w:t>≤ $3,000,000</w:t>
            </w:r>
          </w:p>
        </w:tc>
        <w:tc>
          <w:tcPr>
            <w:tcW w:type="dxa" w:w="1728"/>
          </w:tcPr>
          <w:p>
            <w:pPr>
              <w:spacing w:after="40" w:before="40"/>
              <w:jc w:val="right"/>
            </w:pPr>
            <w:r/>
            <w:r>
              <w:rPr>
                <w:rFonts w:ascii="Arial" w:hAnsi="Arial"/>
                <w:b w:val="0"/>
                <w:sz w:val="19"/>
              </w:rPr>
              <w:t>$2,724,000</w:t>
            </w:r>
          </w:p>
        </w:tc>
        <w:tc>
          <w:tcPr>
            <w:tcW w:type="dxa" w:w="1152"/>
          </w:tcPr>
          <w:p>
            <w:pPr>
              <w:spacing w:after="40" w:before="40"/>
            </w:pPr>
            <w:r/>
            <w:r>
              <w:rPr>
                <w:rFonts w:ascii="Arial" w:hAnsi="Arial"/>
                <w:b w:val="0"/>
                <w:sz w:val="19"/>
              </w:rPr>
              <w:t>PASS</w:t>
            </w:r>
          </w:p>
        </w:tc>
      </w:tr>
    </w:tbl>
    <w:p>
      <w:pPr>
        <w:spacing w:after="200" w:before="0"/>
      </w:pPr>
      <w:r>
        <w:rPr>
          <w:b w:val="0"/>
          <w:i/>
          <w:color w:val="595959"/>
          <w:sz w:val="17"/>
        </w:rPr>
        <w:t>Terms modeled: $2,724,000 at 5.0% fixed, 18 months interest-only during construction, then 25-year amortization on a 7-year term, with a fee of no more than 1.5%. If NIIF also refinances 1816 at 5.0%, consolidated coverage rises to about 1.53x.</w:t>
      </w:r>
    </w:p>
    <w:p>
      <w:pPr>
        <w:pStyle w:val="Heading1"/>
        <w:keepNext/>
        <w:spacing w:after="120" w:before="320"/>
      </w:pPr>
      <w:r>
        <w:rPr>
          <w:rFonts w:ascii="Arial" w:hAnsi="Arial"/>
          <w:b/>
          <w:i w:val="0"/>
          <w:color w:val="1F2A44"/>
          <w:sz w:val="30"/>
        </w:rPr>
        <w:t>8. The 1820 offer</w:t>
      </w:r>
    </w:p>
    <w:tbl>
      <w:tblPr>
        <w:tblStyle w:val="TableGrid"/>
        <w:tblW w:type="auto" w:w="0"/>
        <w:jc w:val="center"/>
        <w:tblLook w:firstColumn="1" w:firstRow="1" w:lastColumn="0" w:lastRow="0" w:noHBand="0" w:noVBand="1" w:val="04A0"/>
      </w:tblPr>
      <w:tblGrid>
        <w:gridCol w:w="4824"/>
        <w:gridCol w:w="4824"/>
      </w:tblGrid>
      <w:tr>
        <w:tc>
          <w:tcPr>
            <w:tcW w:type="dxa" w:w="5760"/>
            <w:shd w:val="clear" w:fill="1F2A44"/>
          </w:tcPr>
          <w:p>
            <w:r/>
            <w:r>
              <w:rPr>
                <w:rFonts w:ascii="Arial" w:hAnsi="Arial"/>
                <w:b/>
                <w:color w:val="FFFFFF"/>
                <w:sz w:val="19"/>
              </w:rPr>
              <w:t>Residual land value test — 1820</w:t>
            </w:r>
          </w:p>
        </w:tc>
        <w:tc>
          <w:tcPr>
            <w:tcW w:type="dxa" w:w="2304"/>
            <w:shd w:val="clear" w:fill="1F2A44"/>
          </w:tcPr>
          <w:p>
            <w:pPr>
              <w:jc w:val="right"/>
            </w:pPr>
            <w:r/>
            <w:r>
              <w:rPr>
                <w:rFonts w:ascii="Arial" w:hAnsi="Arial"/>
                <w:b/>
                <w:color w:val="FFFFFF"/>
                <w:sz w:val="19"/>
              </w:rPr>
              <w:t>Amount</w:t>
            </w:r>
          </w:p>
        </w:tc>
      </w:tr>
      <w:tr>
        <w:tc>
          <w:tcPr>
            <w:tcW w:type="dxa" w:w="5760"/>
          </w:tcPr>
          <w:p>
            <w:pPr>
              <w:spacing w:after="40" w:before="40"/>
            </w:pPr>
            <w:r/>
            <w:r>
              <w:rPr>
                <w:rFonts w:ascii="Arial" w:hAnsi="Arial"/>
                <w:b w:val="0"/>
                <w:sz w:val="19"/>
              </w:rPr>
              <w:t>Stabilized value (target rents, 7.5% cap rate)</w:t>
            </w:r>
          </w:p>
        </w:tc>
        <w:tc>
          <w:tcPr>
            <w:tcW w:type="dxa" w:w="2304"/>
          </w:tcPr>
          <w:p>
            <w:pPr>
              <w:spacing w:after="40" w:before="40"/>
              <w:jc w:val="right"/>
            </w:pPr>
            <w:r/>
            <w:r>
              <w:rPr>
                <w:rFonts w:ascii="Arial" w:hAnsi="Arial"/>
                <w:b w:val="0"/>
                <w:sz w:val="19"/>
              </w:rPr>
              <w:t>$1,742,757</w:t>
            </w:r>
          </w:p>
        </w:tc>
      </w:tr>
      <w:tr>
        <w:tc>
          <w:tcPr>
            <w:tcW w:type="dxa" w:w="5760"/>
          </w:tcPr>
          <w:p>
            <w:pPr>
              <w:spacing w:after="40" w:before="40"/>
            </w:pPr>
            <w:r/>
            <w:r>
              <w:rPr>
                <w:rFonts w:ascii="Arial" w:hAnsi="Arial"/>
                <w:b w:val="0"/>
                <w:sz w:val="19"/>
              </w:rPr>
              <w:t>Stabilized value (market rents)</w:t>
            </w:r>
          </w:p>
        </w:tc>
        <w:tc>
          <w:tcPr>
            <w:tcW w:type="dxa" w:w="2304"/>
          </w:tcPr>
          <w:p>
            <w:pPr>
              <w:spacing w:after="40" w:before="40"/>
              <w:jc w:val="right"/>
            </w:pPr>
            <w:r/>
            <w:r>
              <w:rPr>
                <w:rFonts w:ascii="Arial" w:hAnsi="Arial"/>
                <w:b w:val="0"/>
                <w:sz w:val="19"/>
              </w:rPr>
              <w:t>$1,600,820</w:t>
            </w:r>
          </w:p>
        </w:tc>
      </w:tr>
      <w:tr>
        <w:tc>
          <w:tcPr>
            <w:tcW w:type="dxa" w:w="5760"/>
          </w:tcPr>
          <w:p>
            <w:pPr>
              <w:spacing w:after="40" w:before="40"/>
            </w:pPr>
            <w:r/>
            <w:r>
              <w:rPr>
                <w:rFonts w:ascii="Arial" w:hAnsi="Arial"/>
                <w:b w:val="0"/>
                <w:sz w:val="19"/>
              </w:rPr>
              <w:t>Cost to restore and lease (excluding land)</w:t>
            </w:r>
          </w:p>
        </w:tc>
        <w:tc>
          <w:tcPr>
            <w:tcW w:type="dxa" w:w="2304"/>
          </w:tcPr>
          <w:p>
            <w:pPr>
              <w:spacing w:after="40" w:before="40"/>
              <w:jc w:val="right"/>
            </w:pPr>
            <w:r/>
            <w:r>
              <w:rPr>
                <w:rFonts w:ascii="Arial" w:hAnsi="Arial"/>
                <w:b w:val="0"/>
                <w:sz w:val="19"/>
              </w:rPr>
              <w:t>$2,869,477</w:t>
            </w:r>
          </w:p>
        </w:tc>
      </w:tr>
      <w:tr>
        <w:tc>
          <w:tcPr>
            <w:tcW w:type="dxa" w:w="5760"/>
            <w:shd w:val="clear" w:fill="F2F2F2"/>
          </w:tcPr>
          <w:p>
            <w:pPr>
              <w:spacing w:after="40" w:before="40"/>
            </w:pPr>
            <w:r/>
            <w:r>
              <w:rPr>
                <w:rFonts w:ascii="Arial" w:hAnsi="Arial"/>
                <w:b/>
                <w:sz w:val="19"/>
              </w:rPr>
              <w:t>Implied as-is land value</w:t>
            </w:r>
          </w:p>
        </w:tc>
        <w:tc>
          <w:tcPr>
            <w:tcW w:type="dxa" w:w="2304"/>
            <w:shd w:val="clear" w:fill="F2F2F2"/>
          </w:tcPr>
          <w:p>
            <w:pPr>
              <w:spacing w:after="40" w:before="40"/>
              <w:jc w:val="right"/>
            </w:pPr>
            <w:r/>
            <w:r>
              <w:rPr>
                <w:rFonts w:ascii="Arial" w:hAnsi="Arial"/>
                <w:b/>
                <w:sz w:val="19"/>
              </w:rPr>
              <w:t>−$1,126,719</w:t>
            </w:r>
          </w:p>
        </w:tc>
      </w:tr>
      <w:tr>
        <w:tc>
          <w:tcPr>
            <w:tcW w:type="dxa" w:w="5760"/>
            <w:shd w:val="clear" w:fill="F2F2F2"/>
          </w:tcPr>
          <w:p>
            <w:pPr>
              <w:spacing w:after="40" w:before="40"/>
            </w:pPr>
            <w:r/>
            <w:r>
              <w:rPr>
                <w:rFonts w:ascii="Arial" w:hAnsi="Arial"/>
                <w:b/>
                <w:sz w:val="19"/>
              </w:rPr>
              <w:t>Offer</w:t>
            </w:r>
          </w:p>
        </w:tc>
        <w:tc>
          <w:tcPr>
            <w:tcW w:type="dxa" w:w="2304"/>
            <w:shd w:val="clear" w:fill="F2F2F2"/>
          </w:tcPr>
          <w:p>
            <w:pPr>
              <w:spacing w:after="40" w:before="40"/>
              <w:jc w:val="right"/>
            </w:pPr>
            <w:r/>
            <w:r>
              <w:rPr>
                <w:rFonts w:ascii="Arial" w:hAnsi="Arial"/>
                <w:b/>
                <w:sz w:val="19"/>
              </w:rPr>
              <w:t>$3,000</w:t>
            </w:r>
          </w:p>
        </w:tc>
      </w:tr>
    </w:tbl>
    <w:p>
      <w:pPr>
        <w:spacing w:after="120" w:before="0"/>
      </w:pPr>
      <w:r>
        <w:rPr>
          <w:b w:val="0"/>
          <w:i w:val="0"/>
          <w:sz w:val="8"/>
        </w:rPr>
      </w:r>
    </w:p>
    <w:p>
      <w:pPr>
        <w:spacing w:after="160" w:before="0"/>
      </w:pPr>
      <w:r>
        <w:rPr>
          <w:b w:val="0"/>
          <w:i w:val="0"/>
          <w:sz w:val="21"/>
        </w:rPr>
        <w:t>Restoring 1820 costs more than the finished building will be worth, so its as-is residual value is negative — about −$1.13M. The nominal price reflects that arithmetic, not a discount being sought. The City's return comes from the restoration itself: the parcel was conveyed in 2015 and returned to the City in 2022 without one. LLAYD's control of 1816 and 1818 is what makes finishing the mansion as a single project possible.</w:t>
      </w:r>
    </w:p>
    <w:p>
      <w:pPr>
        <w:spacing w:after="160" w:before="0"/>
      </w:pPr>
      <w:r>
        <w:rPr>
          <w:b w:val="0"/>
          <w:i w:val="0"/>
          <w:sz w:val="21"/>
        </w:rPr>
        <w:t>LLAYD accepts LDA performance conditions: a construction start deadline, reverter and right of re-entry, a CHAP-approved scope, and MBE/WBE and Employ Baltimore compliance.</w:t>
      </w:r>
    </w:p>
    <w:p>
      <w:pPr>
        <w:pStyle w:val="Heading1"/>
        <w:keepNext/>
        <w:spacing w:after="120" w:before="320"/>
      </w:pPr>
      <w:r>
        <w:rPr>
          <w:rFonts w:ascii="Arial" w:hAnsi="Arial"/>
          <w:b/>
          <w:i w:val="0"/>
          <w:color w:val="1F2A44"/>
          <w:sz w:val="30"/>
        </w:rPr>
        <w:t>9. Pro forma and stress tests</w:t>
      </w:r>
    </w:p>
    <w:p>
      <w:pPr>
        <w:spacing w:after="160" w:before="0"/>
      </w:pPr>
      <w:r>
        <w:rPr>
          <w:b w:val="0"/>
          <w:i w:val="0"/>
          <w:sz w:val="21"/>
        </w:rPr>
        <w:t>Consolidated across all three parcels, with rents growing 2% a year (the DHCD underwriting cap), expenses 3%, the CHAP credit for 10 years, and an exit at a 8.0% capitalization rate. Year 1 is 2029.</w:t>
      </w:r>
    </w:p>
    <w:tbl>
      <w:tblPr>
        <w:tblStyle w:val="TableGrid"/>
        <w:tblW w:type="auto" w:w="0"/>
        <w:jc w:val="center"/>
        <w:tblLook w:firstColumn="1" w:firstRow="1" w:lastColumn="0" w:lastRow="0" w:noHBand="0" w:noVBand="1" w:val="04A0"/>
      </w:tblPr>
      <w:tblGrid>
        <w:gridCol w:w="1378"/>
        <w:gridCol w:w="1378"/>
        <w:gridCol w:w="1378"/>
        <w:gridCol w:w="1378"/>
        <w:gridCol w:w="1378"/>
        <w:gridCol w:w="1378"/>
        <w:gridCol w:w="1378"/>
      </w:tblGrid>
      <w:tr>
        <w:tc>
          <w:tcPr>
            <w:tcW w:type="dxa" w:w="2880"/>
            <w:shd w:val="clear" w:fill="1F2A44"/>
          </w:tcPr>
          <w:p>
            <w:r/>
            <w:r>
              <w:rPr>
                <w:rFonts w:ascii="Arial" w:hAnsi="Arial"/>
                <w:b/>
                <w:color w:val="FFFFFF"/>
                <w:sz w:val="17"/>
              </w:rPr>
            </w:r>
          </w:p>
        </w:tc>
        <w:tc>
          <w:tcPr>
            <w:tcW w:type="dxa" w:w="1123"/>
            <w:shd w:val="clear" w:fill="1F2A44"/>
          </w:tcPr>
          <w:p>
            <w:pPr>
              <w:jc w:val="right"/>
            </w:pPr>
            <w:r/>
            <w:r>
              <w:rPr>
                <w:rFonts w:ascii="Arial" w:hAnsi="Arial"/>
                <w:b/>
                <w:color w:val="FFFFFF"/>
                <w:sz w:val="17"/>
              </w:rPr>
              <w:t>2029</w:t>
            </w:r>
          </w:p>
        </w:tc>
        <w:tc>
          <w:tcPr>
            <w:tcW w:type="dxa" w:w="1123"/>
            <w:shd w:val="clear" w:fill="1F2A44"/>
          </w:tcPr>
          <w:p>
            <w:pPr>
              <w:jc w:val="right"/>
            </w:pPr>
            <w:r/>
            <w:r>
              <w:rPr>
                <w:rFonts w:ascii="Arial" w:hAnsi="Arial"/>
                <w:b/>
                <w:color w:val="FFFFFF"/>
                <w:sz w:val="17"/>
              </w:rPr>
              <w:t>2030</w:t>
            </w:r>
          </w:p>
        </w:tc>
        <w:tc>
          <w:tcPr>
            <w:tcW w:type="dxa" w:w="1123"/>
            <w:shd w:val="clear" w:fill="1F2A44"/>
          </w:tcPr>
          <w:p>
            <w:pPr>
              <w:jc w:val="right"/>
            </w:pPr>
            <w:r/>
            <w:r>
              <w:rPr>
                <w:rFonts w:ascii="Arial" w:hAnsi="Arial"/>
                <w:b/>
                <w:color w:val="FFFFFF"/>
                <w:sz w:val="17"/>
              </w:rPr>
              <w:t>2031</w:t>
            </w:r>
          </w:p>
        </w:tc>
        <w:tc>
          <w:tcPr>
            <w:tcW w:type="dxa" w:w="1123"/>
            <w:shd w:val="clear" w:fill="1F2A44"/>
          </w:tcPr>
          <w:p>
            <w:pPr>
              <w:jc w:val="right"/>
            </w:pPr>
            <w:r/>
            <w:r>
              <w:rPr>
                <w:rFonts w:ascii="Arial" w:hAnsi="Arial"/>
                <w:b/>
                <w:color w:val="FFFFFF"/>
                <w:sz w:val="17"/>
              </w:rPr>
              <w:t>2033</w:t>
            </w:r>
          </w:p>
        </w:tc>
        <w:tc>
          <w:tcPr>
            <w:tcW w:type="dxa" w:w="1123"/>
            <w:shd w:val="clear" w:fill="1F2A44"/>
          </w:tcPr>
          <w:p>
            <w:pPr>
              <w:jc w:val="right"/>
            </w:pPr>
            <w:r/>
            <w:r>
              <w:rPr>
                <w:rFonts w:ascii="Arial" w:hAnsi="Arial"/>
                <w:b/>
                <w:color w:val="FFFFFF"/>
                <w:sz w:val="17"/>
              </w:rPr>
              <w:t>2035</w:t>
            </w:r>
          </w:p>
        </w:tc>
        <w:tc>
          <w:tcPr>
            <w:tcW w:type="dxa" w:w="1123"/>
            <w:shd w:val="clear" w:fill="1F2A44"/>
          </w:tcPr>
          <w:p>
            <w:pPr>
              <w:jc w:val="right"/>
            </w:pPr>
            <w:r/>
            <w:r>
              <w:rPr>
                <w:rFonts w:ascii="Arial" w:hAnsi="Arial"/>
                <w:b/>
                <w:color w:val="FFFFFF"/>
                <w:sz w:val="17"/>
              </w:rPr>
              <w:t>2038</w:t>
            </w:r>
          </w:p>
        </w:tc>
      </w:tr>
      <w:tr>
        <w:tc>
          <w:tcPr>
            <w:tcW w:type="dxa" w:w="2880"/>
          </w:tcPr>
          <w:p>
            <w:pPr>
              <w:spacing w:after="40" w:before="40"/>
            </w:pPr>
            <w:r/>
            <w:r>
              <w:rPr>
                <w:rFonts w:ascii="Arial" w:hAnsi="Arial"/>
                <w:b w:val="0"/>
                <w:sz w:val="17"/>
              </w:rPr>
              <w:t>Effective gross income</w:t>
            </w:r>
          </w:p>
        </w:tc>
        <w:tc>
          <w:tcPr>
            <w:tcW w:type="dxa" w:w="1123"/>
          </w:tcPr>
          <w:p>
            <w:pPr>
              <w:spacing w:after="40" w:before="40"/>
              <w:jc w:val="right"/>
            </w:pPr>
            <w:r/>
            <w:r>
              <w:rPr>
                <w:rFonts w:ascii="Arial" w:hAnsi="Arial"/>
                <w:b w:val="0"/>
                <w:sz w:val="17"/>
              </w:rPr>
              <w:t>$579,936</w:t>
            </w:r>
          </w:p>
        </w:tc>
        <w:tc>
          <w:tcPr>
            <w:tcW w:type="dxa" w:w="1123"/>
          </w:tcPr>
          <w:p>
            <w:pPr>
              <w:spacing w:after="40" w:before="40"/>
              <w:jc w:val="right"/>
            </w:pPr>
            <w:r/>
            <w:r>
              <w:rPr>
                <w:rFonts w:ascii="Arial" w:hAnsi="Arial"/>
                <w:b w:val="0"/>
                <w:sz w:val="17"/>
              </w:rPr>
              <w:t>$591,535</w:t>
            </w:r>
          </w:p>
        </w:tc>
        <w:tc>
          <w:tcPr>
            <w:tcW w:type="dxa" w:w="1123"/>
          </w:tcPr>
          <w:p>
            <w:pPr>
              <w:spacing w:after="40" w:before="40"/>
              <w:jc w:val="right"/>
            </w:pPr>
            <w:r/>
            <w:r>
              <w:rPr>
                <w:rFonts w:ascii="Arial" w:hAnsi="Arial"/>
                <w:b w:val="0"/>
                <w:sz w:val="17"/>
              </w:rPr>
              <w:t>$603,365</w:t>
            </w:r>
          </w:p>
        </w:tc>
        <w:tc>
          <w:tcPr>
            <w:tcW w:type="dxa" w:w="1123"/>
          </w:tcPr>
          <w:p>
            <w:pPr>
              <w:spacing w:after="40" w:before="40"/>
              <w:jc w:val="right"/>
            </w:pPr>
            <w:r/>
            <w:r>
              <w:rPr>
                <w:rFonts w:ascii="Arial" w:hAnsi="Arial"/>
                <w:b w:val="0"/>
                <w:sz w:val="17"/>
              </w:rPr>
              <w:t>$627,741</w:t>
            </w:r>
          </w:p>
        </w:tc>
        <w:tc>
          <w:tcPr>
            <w:tcW w:type="dxa" w:w="1123"/>
          </w:tcPr>
          <w:p>
            <w:pPr>
              <w:spacing w:after="40" w:before="40"/>
              <w:jc w:val="right"/>
            </w:pPr>
            <w:r/>
            <w:r>
              <w:rPr>
                <w:rFonts w:ascii="Arial" w:hAnsi="Arial"/>
                <w:b w:val="0"/>
                <w:sz w:val="17"/>
              </w:rPr>
              <w:t>$653,102</w:t>
            </w:r>
          </w:p>
        </w:tc>
        <w:tc>
          <w:tcPr>
            <w:tcW w:type="dxa" w:w="1123"/>
          </w:tcPr>
          <w:p>
            <w:pPr>
              <w:spacing w:after="40" w:before="40"/>
              <w:jc w:val="right"/>
            </w:pPr>
            <w:r/>
            <w:r>
              <w:rPr>
                <w:rFonts w:ascii="Arial" w:hAnsi="Arial"/>
                <w:b w:val="0"/>
                <w:sz w:val="17"/>
              </w:rPr>
              <w:t>$693,077</w:t>
            </w:r>
          </w:p>
        </w:tc>
      </w:tr>
      <w:tr>
        <w:tc>
          <w:tcPr>
            <w:tcW w:type="dxa" w:w="2880"/>
          </w:tcPr>
          <w:p>
            <w:pPr>
              <w:spacing w:after="40" w:before="40"/>
            </w:pPr>
            <w:r/>
            <w:r>
              <w:rPr>
                <w:rFonts w:ascii="Arial" w:hAnsi="Arial"/>
                <w:b w:val="0"/>
                <w:sz w:val="17"/>
              </w:rPr>
              <w:t>Operating expenses (net of CHAP)</w:t>
            </w:r>
          </w:p>
        </w:tc>
        <w:tc>
          <w:tcPr>
            <w:tcW w:type="dxa" w:w="1123"/>
          </w:tcPr>
          <w:p>
            <w:pPr>
              <w:spacing w:after="40" w:before="40"/>
              <w:jc w:val="right"/>
            </w:pPr>
            <w:r/>
            <w:r>
              <w:rPr>
                <w:rFonts w:ascii="Arial" w:hAnsi="Arial"/>
                <w:b w:val="0"/>
                <w:sz w:val="17"/>
              </w:rPr>
              <w:t>$203,434</w:t>
            </w:r>
          </w:p>
        </w:tc>
        <w:tc>
          <w:tcPr>
            <w:tcW w:type="dxa" w:w="1123"/>
          </w:tcPr>
          <w:p>
            <w:pPr>
              <w:spacing w:after="40" w:before="40"/>
              <w:jc w:val="right"/>
            </w:pPr>
            <w:r/>
            <w:r>
              <w:rPr>
                <w:rFonts w:ascii="Arial" w:hAnsi="Arial"/>
                <w:b w:val="0"/>
                <w:sz w:val="17"/>
              </w:rPr>
              <w:t>$209,247</w:t>
            </w:r>
          </w:p>
        </w:tc>
        <w:tc>
          <w:tcPr>
            <w:tcW w:type="dxa" w:w="1123"/>
          </w:tcPr>
          <w:p>
            <w:pPr>
              <w:spacing w:after="40" w:before="40"/>
              <w:jc w:val="right"/>
            </w:pPr>
            <w:r/>
            <w:r>
              <w:rPr>
                <w:rFonts w:ascii="Arial" w:hAnsi="Arial"/>
                <w:b w:val="0"/>
                <w:sz w:val="17"/>
              </w:rPr>
              <w:t>$215,229</w:t>
            </w:r>
          </w:p>
        </w:tc>
        <w:tc>
          <w:tcPr>
            <w:tcW w:type="dxa" w:w="1123"/>
          </w:tcPr>
          <w:p>
            <w:pPr>
              <w:spacing w:after="40" w:before="40"/>
              <w:jc w:val="right"/>
            </w:pPr>
            <w:r/>
            <w:r>
              <w:rPr>
                <w:rFonts w:ascii="Arial" w:hAnsi="Arial"/>
                <w:b w:val="0"/>
                <w:sz w:val="17"/>
              </w:rPr>
              <w:t>$227,718</w:t>
            </w:r>
          </w:p>
        </w:tc>
        <w:tc>
          <w:tcPr>
            <w:tcW w:type="dxa" w:w="1123"/>
          </w:tcPr>
          <w:p>
            <w:pPr>
              <w:spacing w:after="40" w:before="40"/>
              <w:jc w:val="right"/>
            </w:pPr>
            <w:r/>
            <w:r>
              <w:rPr>
                <w:rFonts w:ascii="Arial" w:hAnsi="Arial"/>
                <w:b w:val="0"/>
                <w:sz w:val="17"/>
              </w:rPr>
              <w:t>$240,942</w:t>
            </w:r>
          </w:p>
        </w:tc>
        <w:tc>
          <w:tcPr>
            <w:tcW w:type="dxa" w:w="1123"/>
          </w:tcPr>
          <w:p>
            <w:pPr>
              <w:spacing w:after="40" w:before="40"/>
              <w:jc w:val="right"/>
            </w:pPr>
            <w:r/>
            <w:r>
              <w:rPr>
                <w:rFonts w:ascii="Arial" w:hAnsi="Arial"/>
                <w:b w:val="0"/>
                <w:sz w:val="17"/>
              </w:rPr>
              <w:t>$262,255</w:t>
            </w:r>
          </w:p>
        </w:tc>
      </w:tr>
      <w:tr>
        <w:tc>
          <w:tcPr>
            <w:tcW w:type="dxa" w:w="2880"/>
            <w:shd w:val="clear" w:fill="F2F2F2"/>
          </w:tcPr>
          <w:p>
            <w:pPr>
              <w:spacing w:after="40" w:before="40"/>
            </w:pPr>
            <w:r/>
            <w:r>
              <w:rPr>
                <w:rFonts w:ascii="Arial" w:hAnsi="Arial"/>
                <w:b/>
                <w:sz w:val="17"/>
              </w:rPr>
              <w:t>Net operating income</w:t>
            </w:r>
          </w:p>
        </w:tc>
        <w:tc>
          <w:tcPr>
            <w:tcW w:type="dxa" w:w="1123"/>
            <w:shd w:val="clear" w:fill="F2F2F2"/>
          </w:tcPr>
          <w:p>
            <w:pPr>
              <w:spacing w:after="40" w:before="40"/>
              <w:jc w:val="right"/>
            </w:pPr>
            <w:r/>
            <w:r>
              <w:rPr>
                <w:rFonts w:ascii="Arial" w:hAnsi="Arial"/>
                <w:b/>
                <w:sz w:val="17"/>
              </w:rPr>
              <w:t>$376,502</w:t>
            </w:r>
          </w:p>
        </w:tc>
        <w:tc>
          <w:tcPr>
            <w:tcW w:type="dxa" w:w="1123"/>
            <w:shd w:val="clear" w:fill="F2F2F2"/>
          </w:tcPr>
          <w:p>
            <w:pPr>
              <w:spacing w:after="40" w:before="40"/>
              <w:jc w:val="right"/>
            </w:pPr>
            <w:r/>
            <w:r>
              <w:rPr>
                <w:rFonts w:ascii="Arial" w:hAnsi="Arial"/>
                <w:b/>
                <w:sz w:val="17"/>
              </w:rPr>
              <w:t>$382,288</w:t>
            </w:r>
          </w:p>
        </w:tc>
        <w:tc>
          <w:tcPr>
            <w:tcW w:type="dxa" w:w="1123"/>
            <w:shd w:val="clear" w:fill="F2F2F2"/>
          </w:tcPr>
          <w:p>
            <w:pPr>
              <w:spacing w:after="40" w:before="40"/>
              <w:jc w:val="right"/>
            </w:pPr>
            <w:r/>
            <w:r>
              <w:rPr>
                <w:rFonts w:ascii="Arial" w:hAnsi="Arial"/>
                <w:b/>
                <w:sz w:val="17"/>
              </w:rPr>
              <w:t>$388,137</w:t>
            </w:r>
          </w:p>
        </w:tc>
        <w:tc>
          <w:tcPr>
            <w:tcW w:type="dxa" w:w="1123"/>
            <w:shd w:val="clear" w:fill="F2F2F2"/>
          </w:tcPr>
          <w:p>
            <w:pPr>
              <w:spacing w:after="40" w:before="40"/>
              <w:jc w:val="right"/>
            </w:pPr>
            <w:r/>
            <w:r>
              <w:rPr>
                <w:rFonts w:ascii="Arial" w:hAnsi="Arial"/>
                <w:b/>
                <w:sz w:val="17"/>
              </w:rPr>
              <w:t>$400,024</w:t>
            </w:r>
          </w:p>
        </w:tc>
        <w:tc>
          <w:tcPr>
            <w:tcW w:type="dxa" w:w="1123"/>
            <w:shd w:val="clear" w:fill="F2F2F2"/>
          </w:tcPr>
          <w:p>
            <w:pPr>
              <w:spacing w:after="40" w:before="40"/>
              <w:jc w:val="right"/>
            </w:pPr>
            <w:r/>
            <w:r>
              <w:rPr>
                <w:rFonts w:ascii="Arial" w:hAnsi="Arial"/>
                <w:b/>
                <w:sz w:val="17"/>
              </w:rPr>
              <w:t>$412,160</w:t>
            </w:r>
          </w:p>
        </w:tc>
        <w:tc>
          <w:tcPr>
            <w:tcW w:type="dxa" w:w="1123"/>
            <w:shd w:val="clear" w:fill="F2F2F2"/>
          </w:tcPr>
          <w:p>
            <w:pPr>
              <w:spacing w:after="40" w:before="40"/>
              <w:jc w:val="right"/>
            </w:pPr>
            <w:r/>
            <w:r>
              <w:rPr>
                <w:rFonts w:ascii="Arial" w:hAnsi="Arial"/>
                <w:b/>
                <w:sz w:val="17"/>
              </w:rPr>
              <w:t>$430,822</w:t>
            </w:r>
          </w:p>
        </w:tc>
      </w:tr>
      <w:tr>
        <w:tc>
          <w:tcPr>
            <w:tcW w:type="dxa" w:w="2880"/>
          </w:tcPr>
          <w:p>
            <w:pPr>
              <w:spacing w:after="40" w:before="40"/>
            </w:pPr>
            <w:r/>
            <w:r>
              <w:rPr>
                <w:rFonts w:ascii="Arial" w:hAnsi="Arial"/>
                <w:b w:val="0"/>
                <w:sz w:val="17"/>
              </w:rPr>
              <w:t>Total debt service</w:t>
            </w:r>
          </w:p>
        </w:tc>
        <w:tc>
          <w:tcPr>
            <w:tcW w:type="dxa" w:w="1123"/>
          </w:tcPr>
          <w:p>
            <w:pPr>
              <w:spacing w:after="40" w:before="40"/>
              <w:jc w:val="right"/>
            </w:pPr>
            <w:r/>
            <w:r>
              <w:rPr>
                <w:rFonts w:ascii="Arial" w:hAnsi="Arial"/>
                <w:b w:val="0"/>
                <w:sz w:val="17"/>
              </w:rPr>
              <w:t>$258,922</w:t>
            </w:r>
          </w:p>
        </w:tc>
        <w:tc>
          <w:tcPr>
            <w:tcW w:type="dxa" w:w="1123"/>
          </w:tcPr>
          <w:p>
            <w:pPr>
              <w:spacing w:after="40" w:before="40"/>
              <w:jc w:val="right"/>
            </w:pPr>
            <w:r/>
            <w:r>
              <w:rPr>
                <w:rFonts w:ascii="Arial" w:hAnsi="Arial"/>
                <w:b w:val="0"/>
                <w:sz w:val="17"/>
              </w:rPr>
              <w:t>$258,922</w:t>
            </w:r>
          </w:p>
        </w:tc>
        <w:tc>
          <w:tcPr>
            <w:tcW w:type="dxa" w:w="1123"/>
          </w:tcPr>
          <w:p>
            <w:pPr>
              <w:spacing w:after="40" w:before="40"/>
              <w:jc w:val="right"/>
            </w:pPr>
            <w:r/>
            <w:r>
              <w:rPr>
                <w:rFonts w:ascii="Arial" w:hAnsi="Arial"/>
                <w:b w:val="0"/>
                <w:sz w:val="17"/>
              </w:rPr>
              <w:t>$258,922</w:t>
            </w:r>
          </w:p>
        </w:tc>
        <w:tc>
          <w:tcPr>
            <w:tcW w:type="dxa" w:w="1123"/>
          </w:tcPr>
          <w:p>
            <w:pPr>
              <w:spacing w:after="40" w:before="40"/>
              <w:jc w:val="right"/>
            </w:pPr>
            <w:r/>
            <w:r>
              <w:rPr>
                <w:rFonts w:ascii="Arial" w:hAnsi="Arial"/>
                <w:b w:val="0"/>
                <w:sz w:val="17"/>
              </w:rPr>
              <w:t>$258,922</w:t>
            </w:r>
          </w:p>
        </w:tc>
        <w:tc>
          <w:tcPr>
            <w:tcW w:type="dxa" w:w="1123"/>
          </w:tcPr>
          <w:p>
            <w:pPr>
              <w:spacing w:after="40" w:before="40"/>
              <w:jc w:val="right"/>
            </w:pPr>
            <w:r/>
            <w:r>
              <w:rPr>
                <w:rFonts w:ascii="Arial" w:hAnsi="Arial"/>
                <w:b w:val="0"/>
                <w:sz w:val="17"/>
              </w:rPr>
              <w:t>$258,922</w:t>
            </w:r>
          </w:p>
        </w:tc>
        <w:tc>
          <w:tcPr>
            <w:tcW w:type="dxa" w:w="1123"/>
          </w:tcPr>
          <w:p>
            <w:pPr>
              <w:spacing w:after="40" w:before="40"/>
              <w:jc w:val="right"/>
            </w:pPr>
            <w:r/>
            <w:r>
              <w:rPr>
                <w:rFonts w:ascii="Arial" w:hAnsi="Arial"/>
                <w:b w:val="0"/>
                <w:sz w:val="17"/>
              </w:rPr>
              <w:t>$258,922</w:t>
            </w:r>
          </w:p>
        </w:tc>
      </w:tr>
      <w:tr>
        <w:tc>
          <w:tcPr>
            <w:tcW w:type="dxa" w:w="2880"/>
            <w:shd w:val="clear" w:fill="F2F2F2"/>
          </w:tcPr>
          <w:p>
            <w:pPr>
              <w:spacing w:after="40" w:before="40"/>
            </w:pPr>
            <w:r/>
            <w:r>
              <w:rPr>
                <w:rFonts w:ascii="Arial" w:hAnsi="Arial"/>
                <w:b/>
                <w:sz w:val="17"/>
              </w:rPr>
              <w:t>DSCR</w:t>
            </w:r>
          </w:p>
        </w:tc>
        <w:tc>
          <w:tcPr>
            <w:tcW w:type="dxa" w:w="1123"/>
            <w:shd w:val="clear" w:fill="F2F2F2"/>
          </w:tcPr>
          <w:p>
            <w:pPr>
              <w:spacing w:after="40" w:before="40"/>
              <w:jc w:val="right"/>
            </w:pPr>
            <w:r/>
            <w:r>
              <w:rPr>
                <w:rFonts w:ascii="Arial" w:hAnsi="Arial"/>
                <w:b/>
                <w:sz w:val="17"/>
              </w:rPr>
              <w:t>1.45x</w:t>
            </w:r>
          </w:p>
        </w:tc>
        <w:tc>
          <w:tcPr>
            <w:tcW w:type="dxa" w:w="1123"/>
            <w:shd w:val="clear" w:fill="F2F2F2"/>
          </w:tcPr>
          <w:p>
            <w:pPr>
              <w:spacing w:after="40" w:before="40"/>
              <w:jc w:val="right"/>
            </w:pPr>
            <w:r/>
            <w:r>
              <w:rPr>
                <w:rFonts w:ascii="Arial" w:hAnsi="Arial"/>
                <w:b/>
                <w:sz w:val="17"/>
              </w:rPr>
              <w:t>1.48x</w:t>
            </w:r>
          </w:p>
        </w:tc>
        <w:tc>
          <w:tcPr>
            <w:tcW w:type="dxa" w:w="1123"/>
            <w:shd w:val="clear" w:fill="F2F2F2"/>
          </w:tcPr>
          <w:p>
            <w:pPr>
              <w:spacing w:after="40" w:before="40"/>
              <w:jc w:val="right"/>
            </w:pPr>
            <w:r/>
            <w:r>
              <w:rPr>
                <w:rFonts w:ascii="Arial" w:hAnsi="Arial"/>
                <w:b/>
                <w:sz w:val="17"/>
              </w:rPr>
              <w:t>1.50x</w:t>
            </w:r>
          </w:p>
        </w:tc>
        <w:tc>
          <w:tcPr>
            <w:tcW w:type="dxa" w:w="1123"/>
            <w:shd w:val="clear" w:fill="F2F2F2"/>
          </w:tcPr>
          <w:p>
            <w:pPr>
              <w:spacing w:after="40" w:before="40"/>
              <w:jc w:val="right"/>
            </w:pPr>
            <w:r/>
            <w:r>
              <w:rPr>
                <w:rFonts w:ascii="Arial" w:hAnsi="Arial"/>
                <w:b/>
                <w:sz w:val="17"/>
              </w:rPr>
              <w:t>1.54x</w:t>
            </w:r>
          </w:p>
        </w:tc>
        <w:tc>
          <w:tcPr>
            <w:tcW w:type="dxa" w:w="1123"/>
            <w:shd w:val="clear" w:fill="F2F2F2"/>
          </w:tcPr>
          <w:p>
            <w:pPr>
              <w:spacing w:after="40" w:before="40"/>
              <w:jc w:val="right"/>
            </w:pPr>
            <w:r/>
            <w:r>
              <w:rPr>
                <w:rFonts w:ascii="Arial" w:hAnsi="Arial"/>
                <w:b/>
                <w:sz w:val="17"/>
              </w:rPr>
              <w:t>1.59x</w:t>
            </w:r>
          </w:p>
        </w:tc>
        <w:tc>
          <w:tcPr>
            <w:tcW w:type="dxa" w:w="1123"/>
            <w:shd w:val="clear" w:fill="F2F2F2"/>
          </w:tcPr>
          <w:p>
            <w:pPr>
              <w:spacing w:after="40" w:before="40"/>
              <w:jc w:val="right"/>
            </w:pPr>
            <w:r/>
            <w:r>
              <w:rPr>
                <w:rFonts w:ascii="Arial" w:hAnsi="Arial"/>
                <w:b/>
                <w:sz w:val="17"/>
              </w:rPr>
              <w:t>1.66x</w:t>
            </w:r>
          </w:p>
        </w:tc>
      </w:tr>
      <w:tr>
        <w:tc>
          <w:tcPr>
            <w:tcW w:type="dxa" w:w="2880"/>
          </w:tcPr>
          <w:p>
            <w:pPr>
              <w:spacing w:after="40" w:before="40"/>
            </w:pPr>
            <w:r/>
            <w:r>
              <w:rPr>
                <w:rFonts w:ascii="Arial" w:hAnsi="Arial"/>
                <w:b w:val="0"/>
                <w:sz w:val="17"/>
              </w:rPr>
              <w:t>Cash flow after debt service</w:t>
            </w:r>
          </w:p>
        </w:tc>
        <w:tc>
          <w:tcPr>
            <w:tcW w:type="dxa" w:w="1123"/>
          </w:tcPr>
          <w:p>
            <w:pPr>
              <w:spacing w:after="40" w:before="40"/>
              <w:jc w:val="right"/>
            </w:pPr>
            <w:r/>
            <w:r>
              <w:rPr>
                <w:rFonts w:ascii="Arial" w:hAnsi="Arial"/>
                <w:b w:val="0"/>
                <w:sz w:val="17"/>
              </w:rPr>
              <w:t>$117,580</w:t>
            </w:r>
          </w:p>
        </w:tc>
        <w:tc>
          <w:tcPr>
            <w:tcW w:type="dxa" w:w="1123"/>
          </w:tcPr>
          <w:p>
            <w:pPr>
              <w:spacing w:after="40" w:before="40"/>
              <w:jc w:val="right"/>
            </w:pPr>
            <w:r/>
            <w:r>
              <w:rPr>
                <w:rFonts w:ascii="Arial" w:hAnsi="Arial"/>
                <w:b w:val="0"/>
                <w:sz w:val="17"/>
              </w:rPr>
              <w:t>$123,365</w:t>
            </w:r>
          </w:p>
        </w:tc>
        <w:tc>
          <w:tcPr>
            <w:tcW w:type="dxa" w:w="1123"/>
          </w:tcPr>
          <w:p>
            <w:pPr>
              <w:spacing w:after="40" w:before="40"/>
              <w:jc w:val="right"/>
            </w:pPr>
            <w:r/>
            <w:r>
              <w:rPr>
                <w:rFonts w:ascii="Arial" w:hAnsi="Arial"/>
                <w:b w:val="0"/>
                <w:sz w:val="17"/>
              </w:rPr>
              <w:t>$129,215</w:t>
            </w:r>
          </w:p>
        </w:tc>
        <w:tc>
          <w:tcPr>
            <w:tcW w:type="dxa" w:w="1123"/>
          </w:tcPr>
          <w:p>
            <w:pPr>
              <w:spacing w:after="40" w:before="40"/>
              <w:jc w:val="right"/>
            </w:pPr>
            <w:r/>
            <w:r>
              <w:rPr>
                <w:rFonts w:ascii="Arial" w:hAnsi="Arial"/>
                <w:b w:val="0"/>
                <w:sz w:val="17"/>
              </w:rPr>
              <w:t>$141,102</w:t>
            </w:r>
          </w:p>
        </w:tc>
        <w:tc>
          <w:tcPr>
            <w:tcW w:type="dxa" w:w="1123"/>
          </w:tcPr>
          <w:p>
            <w:pPr>
              <w:spacing w:after="40" w:before="40"/>
              <w:jc w:val="right"/>
            </w:pPr>
            <w:r/>
            <w:r>
              <w:rPr>
                <w:rFonts w:ascii="Arial" w:hAnsi="Arial"/>
                <w:b w:val="0"/>
                <w:sz w:val="17"/>
              </w:rPr>
              <w:t>$153,238</w:t>
            </w:r>
          </w:p>
        </w:tc>
        <w:tc>
          <w:tcPr>
            <w:tcW w:type="dxa" w:w="1123"/>
          </w:tcPr>
          <w:p>
            <w:pPr>
              <w:spacing w:after="40" w:before="40"/>
              <w:jc w:val="right"/>
            </w:pPr>
            <w:r/>
            <w:r>
              <w:rPr>
                <w:rFonts w:ascii="Arial" w:hAnsi="Arial"/>
                <w:b w:val="0"/>
                <w:sz w:val="17"/>
              </w:rPr>
              <w:t>$171,900</w:t>
            </w:r>
          </w:p>
        </w:tc>
      </w:tr>
      <w:tr>
        <w:tc>
          <w:tcPr>
            <w:tcW w:type="dxa" w:w="2880"/>
          </w:tcPr>
          <w:p>
            <w:pPr>
              <w:spacing w:after="40" w:before="40"/>
            </w:pPr>
            <w:r/>
            <w:r>
              <w:rPr>
                <w:rFonts w:ascii="Arial" w:hAnsi="Arial"/>
                <w:b w:val="0"/>
                <w:sz w:val="17"/>
              </w:rPr>
              <w:t>Deferred developer fee paid</w:t>
            </w:r>
          </w:p>
        </w:tc>
        <w:tc>
          <w:tcPr>
            <w:tcW w:type="dxa" w:w="1123"/>
          </w:tcPr>
          <w:p>
            <w:pPr>
              <w:spacing w:after="40" w:before="40"/>
              <w:jc w:val="right"/>
            </w:pPr>
            <w:r/>
            <w:r>
              <w:rPr>
                <w:rFonts w:ascii="Arial" w:hAnsi="Arial"/>
                <w:b w:val="0"/>
                <w:sz w:val="17"/>
              </w:rPr>
              <w:t>$58,790</w:t>
            </w:r>
          </w:p>
        </w:tc>
        <w:tc>
          <w:tcPr>
            <w:tcW w:type="dxa" w:w="1123"/>
          </w:tcPr>
          <w:p>
            <w:pPr>
              <w:spacing w:after="40" w:before="40"/>
              <w:jc w:val="right"/>
            </w:pPr>
            <w:r/>
            <w:r>
              <w:rPr>
                <w:rFonts w:ascii="Arial" w:hAnsi="Arial"/>
                <w:b w:val="0"/>
                <w:sz w:val="17"/>
              </w:rPr>
              <w:t>$61,683</w:t>
            </w:r>
          </w:p>
        </w:tc>
        <w:tc>
          <w:tcPr>
            <w:tcW w:type="dxa" w:w="1123"/>
          </w:tcPr>
          <w:p>
            <w:pPr>
              <w:spacing w:after="40" w:before="40"/>
              <w:jc w:val="right"/>
            </w:pPr>
            <w:r/>
            <w:r>
              <w:rPr>
                <w:rFonts w:ascii="Arial" w:hAnsi="Arial"/>
                <w:b w:val="0"/>
                <w:sz w:val="17"/>
              </w:rPr>
              <w:t>$64,607</w:t>
            </w:r>
          </w:p>
        </w:tc>
        <w:tc>
          <w:tcPr>
            <w:tcW w:type="dxa" w:w="1123"/>
          </w:tcPr>
          <w:p>
            <w:pPr>
              <w:spacing w:after="40" w:before="40"/>
              <w:jc w:val="right"/>
            </w:pPr>
            <w:r/>
            <w:r>
              <w:rPr>
                <w:rFonts w:ascii="Arial" w:hAnsi="Arial"/>
                <w:b w:val="0"/>
                <w:sz w:val="17"/>
              </w:rPr>
              <w:t>$0</w:t>
            </w:r>
          </w:p>
        </w:tc>
        <w:tc>
          <w:tcPr>
            <w:tcW w:type="dxa" w:w="1123"/>
          </w:tcPr>
          <w:p>
            <w:pPr>
              <w:spacing w:after="40" w:before="40"/>
              <w:jc w:val="right"/>
            </w:pPr>
            <w:r/>
            <w:r>
              <w:rPr>
                <w:rFonts w:ascii="Arial" w:hAnsi="Arial"/>
                <w:b w:val="0"/>
                <w:sz w:val="17"/>
              </w:rPr>
              <w:t>$0</w:t>
            </w:r>
          </w:p>
        </w:tc>
        <w:tc>
          <w:tcPr>
            <w:tcW w:type="dxa" w:w="1123"/>
          </w:tcPr>
          <w:p>
            <w:pPr>
              <w:spacing w:after="40" w:before="40"/>
              <w:jc w:val="right"/>
            </w:pPr>
            <w:r/>
            <w:r>
              <w:rPr>
                <w:rFonts w:ascii="Arial" w:hAnsi="Arial"/>
                <w:b w:val="0"/>
                <w:sz w:val="17"/>
              </w:rPr>
              <w:t>$0</w:t>
            </w:r>
          </w:p>
        </w:tc>
      </w:tr>
      <w:tr>
        <w:tc>
          <w:tcPr>
            <w:tcW w:type="dxa" w:w="2880"/>
          </w:tcPr>
          <w:p>
            <w:pPr>
              <w:spacing w:after="40" w:before="40"/>
            </w:pPr>
            <w:r/>
            <w:r>
              <w:rPr>
                <w:rFonts w:ascii="Arial" w:hAnsi="Arial"/>
                <w:b w:val="0"/>
                <w:sz w:val="17"/>
              </w:rPr>
              <w:t>Distributable cash flow</w:t>
            </w:r>
          </w:p>
        </w:tc>
        <w:tc>
          <w:tcPr>
            <w:tcW w:type="dxa" w:w="1123"/>
          </w:tcPr>
          <w:p>
            <w:pPr>
              <w:spacing w:after="40" w:before="40"/>
              <w:jc w:val="right"/>
            </w:pPr>
            <w:r/>
            <w:r>
              <w:rPr>
                <w:rFonts w:ascii="Arial" w:hAnsi="Arial"/>
                <w:b w:val="0"/>
                <w:sz w:val="17"/>
              </w:rPr>
              <w:t>$58,790</w:t>
            </w:r>
          </w:p>
        </w:tc>
        <w:tc>
          <w:tcPr>
            <w:tcW w:type="dxa" w:w="1123"/>
          </w:tcPr>
          <w:p>
            <w:pPr>
              <w:spacing w:after="40" w:before="40"/>
              <w:jc w:val="right"/>
            </w:pPr>
            <w:r/>
            <w:r>
              <w:rPr>
                <w:rFonts w:ascii="Arial" w:hAnsi="Arial"/>
                <w:b w:val="0"/>
                <w:sz w:val="17"/>
              </w:rPr>
              <w:t>$61,683</w:t>
            </w:r>
          </w:p>
        </w:tc>
        <w:tc>
          <w:tcPr>
            <w:tcW w:type="dxa" w:w="1123"/>
          </w:tcPr>
          <w:p>
            <w:pPr>
              <w:spacing w:after="40" w:before="40"/>
              <w:jc w:val="right"/>
            </w:pPr>
            <w:r/>
            <w:r>
              <w:rPr>
                <w:rFonts w:ascii="Arial" w:hAnsi="Arial"/>
                <w:b w:val="0"/>
                <w:sz w:val="17"/>
              </w:rPr>
              <w:t>$64,607</w:t>
            </w:r>
          </w:p>
        </w:tc>
        <w:tc>
          <w:tcPr>
            <w:tcW w:type="dxa" w:w="1123"/>
          </w:tcPr>
          <w:p>
            <w:pPr>
              <w:spacing w:after="40" w:before="40"/>
              <w:jc w:val="right"/>
            </w:pPr>
            <w:r/>
            <w:r>
              <w:rPr>
                <w:rFonts w:ascii="Arial" w:hAnsi="Arial"/>
                <w:b w:val="0"/>
                <w:sz w:val="17"/>
              </w:rPr>
              <w:t>$141,102</w:t>
            </w:r>
          </w:p>
        </w:tc>
        <w:tc>
          <w:tcPr>
            <w:tcW w:type="dxa" w:w="1123"/>
          </w:tcPr>
          <w:p>
            <w:pPr>
              <w:spacing w:after="40" w:before="40"/>
              <w:jc w:val="right"/>
            </w:pPr>
            <w:r/>
            <w:r>
              <w:rPr>
                <w:rFonts w:ascii="Arial" w:hAnsi="Arial"/>
                <w:b w:val="0"/>
                <w:sz w:val="17"/>
              </w:rPr>
              <w:t>$153,238</w:t>
            </w:r>
          </w:p>
        </w:tc>
        <w:tc>
          <w:tcPr>
            <w:tcW w:type="dxa" w:w="1123"/>
          </w:tcPr>
          <w:p>
            <w:pPr>
              <w:spacing w:after="40" w:before="40"/>
              <w:jc w:val="right"/>
            </w:pPr>
            <w:r/>
            <w:r>
              <w:rPr>
                <w:rFonts w:ascii="Arial" w:hAnsi="Arial"/>
                <w:b w:val="0"/>
                <w:sz w:val="17"/>
              </w:rPr>
              <w:t>$171,900</w:t>
            </w:r>
          </w:p>
        </w:tc>
      </w:tr>
    </w:tbl>
    <w:p>
      <w:pPr>
        <w:spacing w:after="200" w:before="0"/>
      </w:pPr>
      <w:r>
        <w:rPr>
          <w:b w:val="0"/>
          <w:i/>
          <w:color w:val="595959"/>
          <w:sz w:val="17"/>
        </w:rPr>
        <w:t>Selected years; the full ten years are on the Pro_Forma tab of the Excel model.</w:t>
      </w:r>
    </w:p>
    <w:tbl>
      <w:tblPr>
        <w:tblStyle w:val="TableGrid"/>
        <w:tblW w:type="auto" w:w="0"/>
        <w:jc w:val="center"/>
        <w:tblLook w:firstColumn="1" w:firstRow="1" w:lastColumn="0" w:lastRow="0" w:noHBand="0" w:noVBand="1" w:val="04A0"/>
      </w:tblPr>
      <w:tblGrid>
        <w:gridCol w:w="4824"/>
        <w:gridCol w:w="4824"/>
      </w:tblGrid>
      <w:tr>
        <w:tc>
          <w:tcPr>
            <w:tcW w:type="dxa" w:w="5760"/>
            <w:shd w:val="clear" w:fill="1F2A44"/>
          </w:tcPr>
          <w:p>
            <w:r/>
            <w:r>
              <w:rPr>
                <w:rFonts w:ascii="Arial" w:hAnsi="Arial"/>
                <w:b/>
                <w:color w:val="FFFFFF"/>
                <w:sz w:val="19"/>
              </w:rPr>
              <w:t>Returns</w:t>
            </w:r>
          </w:p>
        </w:tc>
        <w:tc>
          <w:tcPr>
            <w:tcW w:type="dxa" w:w="2304"/>
            <w:shd w:val="clear" w:fill="1F2A44"/>
          </w:tcPr>
          <w:p>
            <w:pPr>
              <w:jc w:val="right"/>
            </w:pPr>
            <w:r/>
            <w:r>
              <w:rPr>
                <w:rFonts w:ascii="Arial" w:hAnsi="Arial"/>
                <w:b/>
                <w:color w:val="FFFFFF"/>
                <w:sz w:val="19"/>
              </w:rPr>
              <w:t>Value</w:t>
            </w:r>
          </w:p>
        </w:tc>
      </w:tr>
      <w:tr>
        <w:tc>
          <w:tcPr>
            <w:tcW w:type="dxa" w:w="5760"/>
          </w:tcPr>
          <w:p>
            <w:pPr>
              <w:spacing w:after="40" w:before="40"/>
            </w:pPr>
            <w:r/>
            <w:r>
              <w:rPr>
                <w:rFonts w:ascii="Arial" w:hAnsi="Arial"/>
                <w:b w:val="0"/>
                <w:sz w:val="19"/>
              </w:rPr>
              <w:t>Levered IRR (sponsor, 10-year hold)</w:t>
            </w:r>
          </w:p>
        </w:tc>
        <w:tc>
          <w:tcPr>
            <w:tcW w:type="dxa" w:w="2304"/>
          </w:tcPr>
          <w:p>
            <w:pPr>
              <w:spacing w:after="40" w:before="40"/>
              <w:jc w:val="right"/>
            </w:pPr>
            <w:r/>
            <w:r>
              <w:rPr>
                <w:rFonts w:ascii="Arial" w:hAnsi="Arial"/>
                <w:b w:val="0"/>
                <w:sz w:val="19"/>
              </w:rPr>
              <w:t>11.6%</w:t>
            </w:r>
          </w:p>
        </w:tc>
      </w:tr>
      <w:tr>
        <w:tc>
          <w:tcPr>
            <w:tcW w:type="dxa" w:w="5760"/>
          </w:tcPr>
          <w:p>
            <w:pPr>
              <w:spacing w:after="40" w:before="40"/>
            </w:pPr>
            <w:r/>
            <w:r>
              <w:rPr>
                <w:rFonts w:ascii="Arial" w:hAnsi="Arial"/>
                <w:b w:val="0"/>
                <w:sz w:val="19"/>
              </w:rPr>
              <w:t>Unlevered IRR (project)</w:t>
            </w:r>
          </w:p>
        </w:tc>
        <w:tc>
          <w:tcPr>
            <w:tcW w:type="dxa" w:w="2304"/>
          </w:tcPr>
          <w:p>
            <w:pPr>
              <w:spacing w:after="40" w:before="40"/>
              <w:jc w:val="right"/>
            </w:pPr>
            <w:r/>
            <w:r>
              <w:rPr>
                <w:rFonts w:ascii="Arial" w:hAnsi="Arial"/>
                <w:b w:val="0"/>
                <w:sz w:val="19"/>
              </w:rPr>
              <w:t>0.6%</w:t>
            </w:r>
          </w:p>
        </w:tc>
      </w:tr>
      <w:tr>
        <w:tc>
          <w:tcPr>
            <w:tcW w:type="dxa" w:w="5760"/>
          </w:tcPr>
          <w:p>
            <w:pPr>
              <w:spacing w:after="40" w:before="40"/>
            </w:pPr>
            <w:r/>
            <w:r>
              <w:rPr>
                <w:rFonts w:ascii="Arial" w:hAnsi="Arial"/>
                <w:b w:val="0"/>
                <w:sz w:val="19"/>
              </w:rPr>
              <w:t>Return on cost (Year 1 NOI ÷ total development cost)</w:t>
            </w:r>
          </w:p>
        </w:tc>
        <w:tc>
          <w:tcPr>
            <w:tcW w:type="dxa" w:w="2304"/>
          </w:tcPr>
          <w:p>
            <w:pPr>
              <w:spacing w:after="40" w:before="40"/>
              <w:jc w:val="right"/>
            </w:pPr>
            <w:r/>
            <w:r>
              <w:rPr>
                <w:rFonts w:ascii="Arial" w:hAnsi="Arial"/>
                <w:b w:val="0"/>
                <w:sz w:val="19"/>
              </w:rPr>
              <w:t>4.6%</w:t>
            </w:r>
          </w:p>
        </w:tc>
      </w:tr>
      <w:tr>
        <w:tc>
          <w:tcPr>
            <w:tcW w:type="dxa" w:w="5760"/>
          </w:tcPr>
          <w:p>
            <w:pPr>
              <w:spacing w:after="40" w:before="40"/>
            </w:pPr>
            <w:r/>
            <w:r>
              <w:rPr>
                <w:rFonts w:ascii="Arial" w:hAnsi="Arial"/>
                <w:b w:val="0"/>
                <w:sz w:val="19"/>
              </w:rPr>
              <w:t>Average cash-on-cash</w:t>
            </w:r>
          </w:p>
        </w:tc>
        <w:tc>
          <w:tcPr>
            <w:tcW w:type="dxa" w:w="2304"/>
          </w:tcPr>
          <w:p>
            <w:pPr>
              <w:spacing w:after="40" w:before="40"/>
              <w:jc w:val="right"/>
            </w:pPr>
            <w:r/>
            <w:r>
              <w:rPr>
                <w:rFonts w:ascii="Arial" w:hAnsi="Arial"/>
                <w:b w:val="0"/>
                <w:sz w:val="19"/>
              </w:rPr>
              <w:t>10.7%</w:t>
            </w:r>
          </w:p>
        </w:tc>
      </w:tr>
      <w:tr>
        <w:tc>
          <w:tcPr>
            <w:tcW w:type="dxa" w:w="5760"/>
          </w:tcPr>
          <w:p>
            <w:pPr>
              <w:spacing w:after="40" w:before="40"/>
            </w:pPr>
            <w:r/>
            <w:r>
              <w:rPr>
                <w:rFonts w:ascii="Arial" w:hAnsi="Arial"/>
                <w:b w:val="0"/>
                <w:sz w:val="19"/>
              </w:rPr>
              <w:t>Equity multiple</w:t>
            </w:r>
          </w:p>
        </w:tc>
        <w:tc>
          <w:tcPr>
            <w:tcW w:type="dxa" w:w="2304"/>
          </w:tcPr>
          <w:p>
            <w:pPr>
              <w:spacing w:after="40" w:before="40"/>
              <w:jc w:val="right"/>
            </w:pPr>
            <w:r/>
            <w:r>
              <w:rPr>
                <w:rFonts w:ascii="Arial" w:hAnsi="Arial"/>
                <w:b w:val="0"/>
                <w:sz w:val="19"/>
              </w:rPr>
              <w:t>2.16x</w:t>
            </w:r>
          </w:p>
        </w:tc>
      </w:tr>
      <w:tr>
        <w:tc>
          <w:tcPr>
            <w:tcW w:type="dxa" w:w="5760"/>
          </w:tcPr>
          <w:p>
            <w:pPr>
              <w:spacing w:after="40" w:before="40"/>
            </w:pPr>
            <w:r/>
            <w:r>
              <w:rPr>
                <w:rFonts w:ascii="Arial" w:hAnsi="Arial"/>
                <w:b w:val="0"/>
                <w:sz w:val="19"/>
              </w:rPr>
              <w:t>Gross sale value (Year 11 NOI ÷ exit cap)</w:t>
            </w:r>
          </w:p>
        </w:tc>
        <w:tc>
          <w:tcPr>
            <w:tcW w:type="dxa" w:w="2304"/>
          </w:tcPr>
          <w:p>
            <w:pPr>
              <w:spacing w:after="40" w:before="40"/>
              <w:jc w:val="right"/>
            </w:pPr>
            <w:r/>
            <w:r>
              <w:rPr>
                <w:rFonts w:ascii="Arial" w:hAnsi="Arial"/>
                <w:b w:val="0"/>
                <w:sz w:val="19"/>
              </w:rPr>
              <w:t>$4,732,893</w:t>
            </w:r>
          </w:p>
        </w:tc>
      </w:tr>
      <w:tr>
        <w:tc>
          <w:tcPr>
            <w:tcW w:type="dxa" w:w="5760"/>
          </w:tcPr>
          <w:p>
            <w:pPr>
              <w:spacing w:after="40" w:before="40"/>
            </w:pPr>
            <w:r/>
            <w:r>
              <w:rPr>
                <w:rFonts w:ascii="Arial" w:hAnsi="Arial"/>
                <w:b w:val="0"/>
                <w:sz w:val="19"/>
              </w:rPr>
              <w:t>Loan balances at Year 10 (NIIF + 1816)</w:t>
            </w:r>
          </w:p>
        </w:tc>
        <w:tc>
          <w:tcPr>
            <w:tcW w:type="dxa" w:w="2304"/>
          </w:tcPr>
          <w:p>
            <w:pPr>
              <w:spacing w:after="40" w:before="40"/>
              <w:jc w:val="right"/>
            </w:pPr>
            <w:r/>
            <w:r>
              <w:rPr>
                <w:rFonts w:ascii="Arial" w:hAnsi="Arial"/>
                <w:b w:val="0"/>
                <w:sz w:val="19"/>
              </w:rPr>
              <w:t>$2,632,921</w:t>
            </w:r>
          </w:p>
        </w:tc>
      </w:tr>
      <w:tr>
        <w:tc>
          <w:tcPr>
            <w:tcW w:type="dxa" w:w="5760"/>
          </w:tcPr>
          <w:p>
            <w:pPr>
              <w:spacing w:after="40" w:before="40"/>
            </w:pPr>
            <w:r/>
            <w:r>
              <w:rPr>
                <w:rFonts w:ascii="Arial" w:hAnsi="Arial"/>
                <w:b w:val="0"/>
                <w:sz w:val="19"/>
              </w:rPr>
              <w:t>Net reversion to sponsor (after BDC repayment)</w:t>
            </w:r>
          </w:p>
        </w:tc>
        <w:tc>
          <w:tcPr>
            <w:tcW w:type="dxa" w:w="2304"/>
          </w:tcPr>
          <w:p>
            <w:pPr>
              <w:spacing w:after="40" w:before="40"/>
              <w:jc w:val="right"/>
            </w:pPr>
            <w:r/>
            <w:r>
              <w:rPr>
                <w:rFonts w:ascii="Arial" w:hAnsi="Arial"/>
                <w:b w:val="0"/>
                <w:sz w:val="19"/>
              </w:rPr>
              <w:t>$1,014,112</w:t>
            </w:r>
          </w:p>
        </w:tc>
      </w:tr>
    </w:tbl>
    <w:p>
      <w:pPr>
        <w:spacing w:after="120" w:before="0"/>
      </w:pPr>
      <w:r>
        <w:rPr>
          <w:b w:val="0"/>
          <w:i w:val="0"/>
          <w:sz w:val="8"/>
        </w:rPr>
      </w:r>
    </w:p>
    <w:p>
      <w:pPr>
        <w:pStyle w:val="Heading2"/>
        <w:keepNext/>
        <w:spacing w:after="80" w:before="240"/>
      </w:pPr>
      <w:r>
        <w:rPr>
          <w:rFonts w:ascii="Arial" w:hAnsi="Arial"/>
          <w:b/>
          <w:i w:val="0"/>
          <w:color w:val="1F2A44"/>
          <w:sz w:val="23"/>
        </w:rPr>
        <w:t>Stress tests</w:t>
      </w:r>
    </w:p>
    <w:p>
      <w:pPr>
        <w:spacing w:after="160" w:before="0"/>
      </w:pPr>
      <w:r>
        <w:rPr>
          <w:b w:val="0"/>
          <w:i w:val="0"/>
          <w:sz w:val="21"/>
        </w:rPr>
        <w:t>Every scenario re-runs the whole model. The NIIF loan is held at the base amount; the capacity column shows what NIIF could lend if it re-sized the loan for that case.</w:t>
      </w:r>
    </w:p>
    <w:tbl>
      <w:tblPr>
        <w:tblStyle w:val="TableGrid"/>
        <w:tblW w:type="auto" w:w="0"/>
        <w:jc w:val="center"/>
        <w:tblLook w:firstColumn="1" w:firstRow="1" w:lastColumn="0" w:lastRow="0" w:noHBand="0" w:noVBand="1" w:val="04A0"/>
      </w:tblPr>
      <w:tblGrid>
        <w:gridCol w:w="1206"/>
        <w:gridCol w:w="1206"/>
        <w:gridCol w:w="1206"/>
        <w:gridCol w:w="1206"/>
        <w:gridCol w:w="1206"/>
        <w:gridCol w:w="1206"/>
        <w:gridCol w:w="1206"/>
        <w:gridCol w:w="1206"/>
      </w:tblGrid>
      <w:tr>
        <w:tc>
          <w:tcPr>
            <w:tcW w:type="dxa" w:w="2736"/>
            <w:shd w:val="clear" w:fill="1F2A44"/>
          </w:tcPr>
          <w:p>
            <w:r/>
            <w:r>
              <w:rPr>
                <w:rFonts w:ascii="Arial" w:hAnsi="Arial"/>
                <w:b/>
                <w:color w:val="FFFFFF"/>
                <w:sz w:val="15"/>
              </w:rPr>
              <w:t>Scenario</w:t>
            </w:r>
          </w:p>
        </w:tc>
        <w:tc>
          <w:tcPr>
            <w:tcW w:type="dxa" w:w="1037"/>
            <w:shd w:val="clear" w:fill="1F2A44"/>
          </w:tcPr>
          <w:p>
            <w:pPr>
              <w:jc w:val="right"/>
            </w:pPr>
            <w:r/>
            <w:r>
              <w:rPr>
                <w:rFonts w:ascii="Arial" w:hAnsi="Arial"/>
                <w:b/>
                <w:color w:val="FFFFFF"/>
                <w:sz w:val="15"/>
              </w:rPr>
              <w:t>Yr 1 NOI</w:t>
            </w:r>
          </w:p>
        </w:tc>
        <w:tc>
          <w:tcPr>
            <w:tcW w:type="dxa" w:w="893"/>
            <w:shd w:val="clear" w:fill="1F2A44"/>
          </w:tcPr>
          <w:p>
            <w:pPr>
              <w:jc w:val="right"/>
            </w:pPr>
            <w:r/>
            <w:r>
              <w:rPr>
                <w:rFonts w:ascii="Arial" w:hAnsi="Arial"/>
                <w:b/>
                <w:color w:val="FFFFFF"/>
                <w:sz w:val="15"/>
              </w:rPr>
              <w:t>Consol. DSCR</w:t>
            </w:r>
          </w:p>
        </w:tc>
        <w:tc>
          <w:tcPr>
            <w:tcW w:type="dxa" w:w="835"/>
            <w:shd w:val="clear" w:fill="1F2A44"/>
          </w:tcPr>
          <w:p>
            <w:pPr>
              <w:jc w:val="right"/>
            </w:pPr>
            <w:r/>
            <w:r>
              <w:rPr>
                <w:rFonts w:ascii="Arial" w:hAnsi="Arial"/>
                <w:b/>
                <w:color w:val="FFFFFF"/>
                <w:sz w:val="15"/>
              </w:rPr>
              <w:t>NIIF DSCR</w:t>
            </w:r>
          </w:p>
        </w:tc>
        <w:tc>
          <w:tcPr>
            <w:tcW w:type="dxa" w:w="979"/>
            <w:shd w:val="clear" w:fill="1F2A44"/>
          </w:tcPr>
          <w:p>
            <w:pPr>
              <w:jc w:val="right"/>
            </w:pPr>
            <w:r/>
            <w:r>
              <w:rPr>
                <w:rFonts w:ascii="Arial" w:hAnsi="Arial"/>
                <w:b/>
                <w:color w:val="FFFFFF"/>
                <w:sz w:val="15"/>
              </w:rPr>
              <w:t>NIIF DSCR @ mkt</w:t>
            </w:r>
          </w:p>
        </w:tc>
        <w:tc>
          <w:tcPr>
            <w:tcW w:type="dxa" w:w="1080"/>
            <w:shd w:val="clear" w:fill="1F2A44"/>
          </w:tcPr>
          <w:p>
            <w:pPr>
              <w:jc w:val="right"/>
            </w:pPr>
            <w:r/>
            <w:r>
              <w:rPr>
                <w:rFonts w:ascii="Arial" w:hAnsi="Arial"/>
                <w:b/>
                <w:color w:val="FFFFFF"/>
                <w:sz w:val="15"/>
              </w:rPr>
              <w:t>BDC gap</w:t>
            </w:r>
          </w:p>
        </w:tc>
        <w:tc>
          <w:tcPr>
            <w:tcW w:type="dxa" w:w="1037"/>
            <w:shd w:val="clear" w:fill="1F2A44"/>
          </w:tcPr>
          <w:p>
            <w:pPr>
              <w:jc w:val="right"/>
            </w:pPr>
            <w:r/>
            <w:r>
              <w:rPr>
                <w:rFonts w:ascii="Arial" w:hAnsi="Arial"/>
                <w:b/>
                <w:color w:val="FFFFFF"/>
                <w:sz w:val="15"/>
              </w:rPr>
              <w:t>NIIF capacity</w:t>
            </w:r>
          </w:p>
        </w:tc>
        <w:tc>
          <w:tcPr>
            <w:tcW w:type="dxa" w:w="936"/>
            <w:shd w:val="clear" w:fill="1F2A44"/>
          </w:tcPr>
          <w:p>
            <w:pPr>
              <w:jc w:val="right"/>
            </w:pPr>
            <w:r/>
            <w:r>
              <w:rPr>
                <w:rFonts w:ascii="Arial" w:hAnsi="Arial"/>
                <w:b/>
                <w:color w:val="FFFFFF"/>
                <w:sz w:val="15"/>
              </w:rPr>
              <w:t>Levered IRR</w:t>
            </w:r>
          </w:p>
        </w:tc>
      </w:tr>
      <w:tr>
        <w:tc>
          <w:tcPr>
            <w:tcW w:type="dxa" w:w="2736"/>
            <w:shd w:val="clear" w:fill="F2F2F2"/>
          </w:tcPr>
          <w:p>
            <w:pPr>
              <w:spacing w:after="40" w:before="40"/>
            </w:pPr>
            <w:r/>
            <w:r>
              <w:rPr>
                <w:rFonts w:ascii="Arial" w:hAnsi="Arial"/>
                <w:b/>
                <w:sz w:val="15"/>
              </w:rPr>
              <w:t>Base case — target rents</w:t>
            </w:r>
          </w:p>
        </w:tc>
        <w:tc>
          <w:tcPr>
            <w:tcW w:type="dxa" w:w="1037"/>
            <w:shd w:val="clear" w:fill="F2F2F2"/>
          </w:tcPr>
          <w:p>
            <w:pPr>
              <w:spacing w:after="40" w:before="40"/>
              <w:jc w:val="right"/>
            </w:pPr>
            <w:r/>
            <w:r>
              <w:rPr>
                <w:rFonts w:ascii="Arial" w:hAnsi="Arial"/>
                <w:b/>
                <w:sz w:val="15"/>
              </w:rPr>
              <w:t>$376,502</w:t>
            </w:r>
          </w:p>
        </w:tc>
        <w:tc>
          <w:tcPr>
            <w:tcW w:type="dxa" w:w="893"/>
            <w:shd w:val="clear" w:fill="F2F2F2"/>
          </w:tcPr>
          <w:p>
            <w:pPr>
              <w:spacing w:after="40" w:before="40"/>
              <w:jc w:val="right"/>
            </w:pPr>
            <w:r/>
            <w:r>
              <w:rPr>
                <w:rFonts w:ascii="Arial" w:hAnsi="Arial"/>
                <w:b/>
                <w:sz w:val="15"/>
              </w:rPr>
              <w:t>1.45x</w:t>
            </w:r>
          </w:p>
        </w:tc>
        <w:tc>
          <w:tcPr>
            <w:tcW w:type="dxa" w:w="835"/>
            <w:shd w:val="clear" w:fill="F2F2F2"/>
          </w:tcPr>
          <w:p>
            <w:pPr>
              <w:spacing w:after="40" w:before="40"/>
              <w:jc w:val="right"/>
            </w:pPr>
            <w:r/>
            <w:r>
              <w:rPr>
                <w:rFonts w:ascii="Arial" w:hAnsi="Arial"/>
                <w:b/>
                <w:sz w:val="15"/>
              </w:rPr>
              <w:t>1.34x</w:t>
            </w:r>
          </w:p>
        </w:tc>
        <w:tc>
          <w:tcPr>
            <w:tcW w:type="dxa" w:w="979"/>
            <w:shd w:val="clear" w:fill="F2F2F2"/>
          </w:tcPr>
          <w:p>
            <w:pPr>
              <w:spacing w:after="40" w:before="40"/>
              <w:jc w:val="right"/>
            </w:pPr>
            <w:r/>
            <w:r>
              <w:rPr>
                <w:rFonts w:ascii="Arial" w:hAnsi="Arial"/>
                <w:b/>
                <w:sz w:val="15"/>
              </w:rPr>
              <w:t>1.27x</w:t>
            </w:r>
          </w:p>
        </w:tc>
        <w:tc>
          <w:tcPr>
            <w:tcW w:type="dxa" w:w="1080"/>
            <w:shd w:val="clear" w:fill="F2F2F2"/>
          </w:tcPr>
          <w:p>
            <w:pPr>
              <w:spacing w:after="40" w:before="40"/>
              <w:jc w:val="right"/>
            </w:pPr>
            <w:r/>
            <w:r>
              <w:rPr>
                <w:rFonts w:ascii="Arial" w:hAnsi="Arial"/>
                <w:b/>
                <w:sz w:val="15"/>
              </w:rPr>
              <w:t>$943,874</w:t>
            </w:r>
          </w:p>
        </w:tc>
        <w:tc>
          <w:tcPr>
            <w:tcW w:type="dxa" w:w="1037"/>
            <w:shd w:val="clear" w:fill="F2F2F2"/>
          </w:tcPr>
          <w:p>
            <w:pPr>
              <w:spacing w:after="40" w:before="40"/>
              <w:jc w:val="right"/>
            </w:pPr>
            <w:r/>
            <w:r>
              <w:rPr>
                <w:rFonts w:ascii="Arial" w:hAnsi="Arial"/>
                <w:b/>
                <w:sz w:val="15"/>
              </w:rPr>
              <w:t>$2,724,000</w:t>
            </w:r>
          </w:p>
        </w:tc>
        <w:tc>
          <w:tcPr>
            <w:tcW w:type="dxa" w:w="936"/>
            <w:shd w:val="clear" w:fill="F2F2F2"/>
          </w:tcPr>
          <w:p>
            <w:pPr>
              <w:spacing w:after="40" w:before="40"/>
              <w:jc w:val="right"/>
            </w:pPr>
            <w:r/>
            <w:r>
              <w:rPr>
                <w:rFonts w:ascii="Arial" w:hAnsi="Arial"/>
                <w:b/>
                <w:sz w:val="15"/>
              </w:rPr>
              <w:t>11.6%</w:t>
            </w:r>
          </w:p>
        </w:tc>
      </w:tr>
      <w:tr>
        <w:tc>
          <w:tcPr>
            <w:tcW w:type="dxa" w:w="2736"/>
          </w:tcPr>
          <w:p>
            <w:pPr>
              <w:spacing w:after="40" w:before="40"/>
            </w:pPr>
            <w:r/>
            <w:r>
              <w:rPr>
                <w:rFonts w:ascii="Arial" w:hAnsi="Arial"/>
                <w:b w:val="0"/>
                <w:sz w:val="15"/>
              </w:rPr>
              <w:t>Market-rent case (comparable-supported rents)</w:t>
            </w:r>
          </w:p>
        </w:tc>
        <w:tc>
          <w:tcPr>
            <w:tcW w:type="dxa" w:w="1037"/>
          </w:tcPr>
          <w:p>
            <w:pPr>
              <w:spacing w:after="40" w:before="40"/>
              <w:jc w:val="right"/>
            </w:pPr>
            <w:r/>
            <w:r>
              <w:rPr>
                <w:rFonts w:ascii="Arial" w:hAnsi="Arial"/>
                <w:b w:val="0"/>
                <w:sz w:val="15"/>
              </w:rPr>
              <w:t>$326,663</w:t>
            </w:r>
          </w:p>
        </w:tc>
        <w:tc>
          <w:tcPr>
            <w:tcW w:type="dxa" w:w="893"/>
          </w:tcPr>
          <w:p>
            <w:pPr>
              <w:spacing w:after="40" w:before="40"/>
              <w:jc w:val="right"/>
            </w:pPr>
            <w:r/>
            <w:r>
              <w:rPr>
                <w:rFonts w:ascii="Arial" w:hAnsi="Arial"/>
                <w:b w:val="0"/>
                <w:sz w:val="15"/>
              </w:rPr>
              <w:t>1.26x</w:t>
            </w:r>
          </w:p>
        </w:tc>
        <w:tc>
          <w:tcPr>
            <w:tcW w:type="dxa" w:w="835"/>
          </w:tcPr>
          <w:p>
            <w:pPr>
              <w:spacing w:after="40" w:before="40"/>
              <w:jc w:val="right"/>
            </w:pPr>
            <w:r/>
            <w:r>
              <w:rPr>
                <w:rFonts w:ascii="Arial" w:hAnsi="Arial"/>
                <w:b w:val="0"/>
                <w:sz w:val="15"/>
              </w:rPr>
              <w:t>1.27x</w:t>
            </w:r>
          </w:p>
        </w:tc>
        <w:tc>
          <w:tcPr>
            <w:tcW w:type="dxa" w:w="979"/>
          </w:tcPr>
          <w:p>
            <w:pPr>
              <w:spacing w:after="40" w:before="40"/>
              <w:jc w:val="right"/>
            </w:pPr>
            <w:r/>
            <w:r>
              <w:rPr>
                <w:rFonts w:ascii="Arial" w:hAnsi="Arial"/>
                <w:b w:val="0"/>
                <w:sz w:val="15"/>
              </w:rPr>
              <w:t>1.27x</w:t>
            </w:r>
          </w:p>
        </w:tc>
        <w:tc>
          <w:tcPr>
            <w:tcW w:type="dxa" w:w="1080"/>
          </w:tcPr>
          <w:p>
            <w:pPr>
              <w:spacing w:after="40" w:before="40"/>
              <w:jc w:val="right"/>
            </w:pPr>
            <w:r/>
            <w:r>
              <w:rPr>
                <w:rFonts w:ascii="Arial" w:hAnsi="Arial"/>
                <w:b w:val="0"/>
                <w:sz w:val="15"/>
              </w:rPr>
              <w:t>$943,549</w:t>
            </w:r>
          </w:p>
        </w:tc>
        <w:tc>
          <w:tcPr>
            <w:tcW w:type="dxa" w:w="1037"/>
          </w:tcPr>
          <w:p>
            <w:pPr>
              <w:spacing w:after="40" w:before="40"/>
              <w:jc w:val="right"/>
            </w:pPr>
            <w:r/>
            <w:r>
              <w:rPr>
                <w:rFonts w:ascii="Arial" w:hAnsi="Arial"/>
                <w:b w:val="0"/>
                <w:sz w:val="15"/>
              </w:rPr>
              <w:t>$2,598,000</w:t>
            </w:r>
          </w:p>
        </w:tc>
        <w:tc>
          <w:tcPr>
            <w:tcW w:type="dxa" w:w="936"/>
          </w:tcPr>
          <w:p>
            <w:pPr>
              <w:spacing w:after="40" w:before="40"/>
              <w:jc w:val="right"/>
            </w:pPr>
            <w:r/>
            <w:r>
              <w:rPr>
                <w:rFonts w:ascii="Arial" w:hAnsi="Arial"/>
                <w:b w:val="0"/>
                <w:sz w:val="15"/>
              </w:rPr>
              <w:t>0.5%</w:t>
            </w:r>
          </w:p>
        </w:tc>
      </w:tr>
      <w:tr>
        <w:tc>
          <w:tcPr>
            <w:tcW w:type="dxa" w:w="2736"/>
          </w:tcPr>
          <w:p>
            <w:pPr>
              <w:spacing w:after="40" w:before="40"/>
            </w:pPr>
            <w:r/>
            <w:r>
              <w:rPr>
                <w:rFonts w:ascii="Arial" w:hAnsi="Arial"/>
                <w:b w:val="0"/>
                <w:sz w:val="15"/>
              </w:rPr>
              <w:t>Target residential rents −10%</w:t>
            </w:r>
          </w:p>
        </w:tc>
        <w:tc>
          <w:tcPr>
            <w:tcW w:type="dxa" w:w="1037"/>
          </w:tcPr>
          <w:p>
            <w:pPr>
              <w:spacing w:after="40" w:before="40"/>
              <w:jc w:val="right"/>
            </w:pPr>
            <w:r/>
            <w:r>
              <w:rPr>
                <w:rFonts w:ascii="Arial" w:hAnsi="Arial"/>
                <w:b w:val="0"/>
                <w:sz w:val="15"/>
              </w:rPr>
              <w:t>$336,490</w:t>
            </w:r>
          </w:p>
        </w:tc>
        <w:tc>
          <w:tcPr>
            <w:tcW w:type="dxa" w:w="893"/>
          </w:tcPr>
          <w:p>
            <w:pPr>
              <w:spacing w:after="40" w:before="40"/>
              <w:jc w:val="right"/>
            </w:pPr>
            <w:r/>
            <w:r>
              <w:rPr>
                <w:rFonts w:ascii="Arial" w:hAnsi="Arial"/>
                <w:b w:val="0"/>
                <w:sz w:val="15"/>
              </w:rPr>
              <w:t>1.30x</w:t>
            </w:r>
          </w:p>
        </w:tc>
        <w:tc>
          <w:tcPr>
            <w:tcW w:type="dxa" w:w="835"/>
          </w:tcPr>
          <w:p>
            <w:pPr>
              <w:spacing w:after="40" w:before="40"/>
              <w:jc w:val="right"/>
            </w:pPr>
            <w:r/>
            <w:r>
              <w:rPr>
                <w:rFonts w:ascii="Arial" w:hAnsi="Arial"/>
                <w:b w:val="0"/>
                <w:sz w:val="15"/>
              </w:rPr>
              <w:t>1.19x</w:t>
            </w:r>
          </w:p>
        </w:tc>
        <w:tc>
          <w:tcPr>
            <w:tcW w:type="dxa" w:w="979"/>
          </w:tcPr>
          <w:p>
            <w:pPr>
              <w:spacing w:after="40" w:before="40"/>
              <w:jc w:val="right"/>
            </w:pPr>
            <w:r/>
            <w:r>
              <w:rPr>
                <w:rFonts w:ascii="Arial" w:hAnsi="Arial"/>
                <w:b w:val="0"/>
                <w:sz w:val="15"/>
              </w:rPr>
              <w:t>1.27x</w:t>
            </w:r>
          </w:p>
        </w:tc>
        <w:tc>
          <w:tcPr>
            <w:tcW w:type="dxa" w:w="1080"/>
          </w:tcPr>
          <w:p>
            <w:pPr>
              <w:spacing w:after="40" w:before="40"/>
              <w:jc w:val="right"/>
            </w:pPr>
            <w:r/>
            <w:r>
              <w:rPr>
                <w:rFonts w:ascii="Arial" w:hAnsi="Arial"/>
                <w:b w:val="0"/>
                <w:sz w:val="15"/>
              </w:rPr>
              <w:t>$943,116</w:t>
            </w:r>
          </w:p>
        </w:tc>
        <w:tc>
          <w:tcPr>
            <w:tcW w:type="dxa" w:w="1037"/>
          </w:tcPr>
          <w:p>
            <w:pPr>
              <w:spacing w:after="40" w:before="40"/>
              <w:jc w:val="right"/>
            </w:pPr>
            <w:r/>
            <w:r>
              <w:rPr>
                <w:rFonts w:ascii="Arial" w:hAnsi="Arial"/>
                <w:b w:val="0"/>
                <w:sz w:val="15"/>
              </w:rPr>
              <w:t>$2,429,000</w:t>
            </w:r>
          </w:p>
        </w:tc>
        <w:tc>
          <w:tcPr>
            <w:tcW w:type="dxa" w:w="936"/>
          </w:tcPr>
          <w:p>
            <w:pPr>
              <w:spacing w:after="40" w:before="40"/>
              <w:jc w:val="right"/>
            </w:pPr>
            <w:r/>
            <w:r>
              <w:rPr>
                <w:rFonts w:ascii="Arial" w:hAnsi="Arial"/>
                <w:b w:val="0"/>
                <w:sz w:val="15"/>
              </w:rPr>
              <w:t>3.3%</w:t>
            </w:r>
          </w:p>
        </w:tc>
      </w:tr>
      <w:tr>
        <w:tc>
          <w:tcPr>
            <w:tcW w:type="dxa" w:w="2736"/>
          </w:tcPr>
          <w:p>
            <w:pPr>
              <w:spacing w:after="40" w:before="40"/>
            </w:pPr>
            <w:r/>
            <w:r>
              <w:rPr>
                <w:rFonts w:ascii="Arial" w:hAnsi="Arial"/>
                <w:b w:val="0"/>
                <w:sz w:val="15"/>
              </w:rPr>
              <w:t>Commercial rents −25% &amp; 20% commercial vacancy</w:t>
            </w:r>
          </w:p>
        </w:tc>
        <w:tc>
          <w:tcPr>
            <w:tcW w:type="dxa" w:w="1037"/>
          </w:tcPr>
          <w:p>
            <w:pPr>
              <w:spacing w:after="40" w:before="40"/>
              <w:jc w:val="right"/>
            </w:pPr>
            <w:r/>
            <w:r>
              <w:rPr>
                <w:rFonts w:ascii="Arial" w:hAnsi="Arial"/>
                <w:b w:val="0"/>
                <w:sz w:val="15"/>
              </w:rPr>
              <w:t>$328,622</w:t>
            </w:r>
          </w:p>
        </w:tc>
        <w:tc>
          <w:tcPr>
            <w:tcW w:type="dxa" w:w="893"/>
          </w:tcPr>
          <w:p>
            <w:pPr>
              <w:spacing w:after="40" w:before="40"/>
              <w:jc w:val="right"/>
            </w:pPr>
            <w:r/>
            <w:r>
              <w:rPr>
                <w:rFonts w:ascii="Arial" w:hAnsi="Arial"/>
                <w:b w:val="0"/>
                <w:sz w:val="15"/>
              </w:rPr>
              <w:t>1.27x</w:t>
            </w:r>
          </w:p>
        </w:tc>
        <w:tc>
          <w:tcPr>
            <w:tcW w:type="dxa" w:w="835"/>
          </w:tcPr>
          <w:p>
            <w:pPr>
              <w:spacing w:after="40" w:before="40"/>
              <w:jc w:val="right"/>
            </w:pPr>
            <w:r/>
            <w:r>
              <w:rPr>
                <w:rFonts w:ascii="Arial" w:hAnsi="Arial"/>
                <w:b w:val="0"/>
                <w:sz w:val="15"/>
              </w:rPr>
              <w:t>1.21x</w:t>
            </w:r>
          </w:p>
        </w:tc>
        <w:tc>
          <w:tcPr>
            <w:tcW w:type="dxa" w:w="979"/>
          </w:tcPr>
          <w:p>
            <w:pPr>
              <w:spacing w:after="40" w:before="40"/>
              <w:jc w:val="right"/>
            </w:pPr>
            <w:r/>
            <w:r>
              <w:rPr>
                <w:rFonts w:ascii="Arial" w:hAnsi="Arial"/>
                <w:b w:val="0"/>
                <w:sz w:val="15"/>
              </w:rPr>
              <w:t>1.23x</w:t>
            </w:r>
          </w:p>
        </w:tc>
        <w:tc>
          <w:tcPr>
            <w:tcW w:type="dxa" w:w="1080"/>
          </w:tcPr>
          <w:p>
            <w:pPr>
              <w:spacing w:after="40" w:before="40"/>
              <w:jc w:val="right"/>
            </w:pPr>
            <w:r/>
            <w:r>
              <w:rPr>
                <w:rFonts w:ascii="Arial" w:hAnsi="Arial"/>
                <w:b w:val="0"/>
                <w:sz w:val="15"/>
              </w:rPr>
              <w:t>$943,191</w:t>
            </w:r>
          </w:p>
        </w:tc>
        <w:tc>
          <w:tcPr>
            <w:tcW w:type="dxa" w:w="1037"/>
          </w:tcPr>
          <w:p>
            <w:pPr>
              <w:spacing w:after="40" w:before="40"/>
              <w:jc w:val="right"/>
            </w:pPr>
            <w:r/>
            <w:r>
              <w:rPr>
                <w:rFonts w:ascii="Arial" w:hAnsi="Arial"/>
                <w:b w:val="0"/>
                <w:sz w:val="15"/>
              </w:rPr>
              <w:t>$2,458,000</w:t>
            </w:r>
          </w:p>
        </w:tc>
        <w:tc>
          <w:tcPr>
            <w:tcW w:type="dxa" w:w="936"/>
          </w:tcPr>
          <w:p>
            <w:pPr>
              <w:spacing w:after="40" w:before="40"/>
              <w:jc w:val="right"/>
            </w:pPr>
            <w:r/>
            <w:r>
              <w:rPr>
                <w:rFonts w:ascii="Arial" w:hAnsi="Arial"/>
                <w:b w:val="0"/>
                <w:sz w:val="15"/>
              </w:rPr>
              <w:t>1.1%</w:t>
            </w:r>
          </w:p>
        </w:tc>
      </w:tr>
      <w:tr>
        <w:tc>
          <w:tcPr>
            <w:tcW w:type="dxa" w:w="2736"/>
          </w:tcPr>
          <w:p>
            <w:pPr>
              <w:spacing w:after="40" w:before="40"/>
            </w:pPr>
            <w:r/>
            <w:r>
              <w:rPr>
                <w:rFonts w:ascii="Arial" w:hAnsi="Arial"/>
                <w:b w:val="0"/>
                <w:sz w:val="15"/>
              </w:rPr>
              <w:t>Interest rates +200 bps (NIIF 7.0%, 1816 9.25%)</w:t>
            </w:r>
          </w:p>
        </w:tc>
        <w:tc>
          <w:tcPr>
            <w:tcW w:type="dxa" w:w="1037"/>
          </w:tcPr>
          <w:p>
            <w:pPr>
              <w:spacing w:after="40" w:before="40"/>
              <w:jc w:val="right"/>
            </w:pPr>
            <w:r/>
            <w:r>
              <w:rPr>
                <w:rFonts w:ascii="Arial" w:hAnsi="Arial"/>
                <w:b w:val="0"/>
                <w:sz w:val="15"/>
              </w:rPr>
              <w:t>$376,502</w:t>
            </w:r>
          </w:p>
        </w:tc>
        <w:tc>
          <w:tcPr>
            <w:tcW w:type="dxa" w:w="893"/>
          </w:tcPr>
          <w:p>
            <w:pPr>
              <w:spacing w:after="40" w:before="40"/>
              <w:jc w:val="right"/>
            </w:pPr>
            <w:r/>
            <w:r>
              <w:rPr>
                <w:rFonts w:ascii="Arial" w:hAnsi="Arial"/>
                <w:b w:val="0"/>
                <w:sz w:val="15"/>
              </w:rPr>
              <w:t>1.21x</w:t>
            </w:r>
          </w:p>
        </w:tc>
        <w:tc>
          <w:tcPr>
            <w:tcW w:type="dxa" w:w="835"/>
          </w:tcPr>
          <w:p>
            <w:pPr>
              <w:spacing w:after="40" w:before="40"/>
              <w:jc w:val="right"/>
            </w:pPr>
            <w:r/>
            <w:r>
              <w:rPr>
                <w:rFonts w:ascii="Arial" w:hAnsi="Arial"/>
                <w:b w:val="0"/>
                <w:sz w:val="15"/>
              </w:rPr>
              <w:t>1.11x</w:t>
            </w:r>
          </w:p>
        </w:tc>
        <w:tc>
          <w:tcPr>
            <w:tcW w:type="dxa" w:w="979"/>
          </w:tcPr>
          <w:p>
            <w:pPr>
              <w:spacing w:after="40" w:before="40"/>
              <w:jc w:val="right"/>
            </w:pPr>
            <w:r/>
            <w:r>
              <w:rPr>
                <w:rFonts w:ascii="Arial" w:hAnsi="Arial"/>
                <w:b w:val="0"/>
                <w:sz w:val="15"/>
              </w:rPr>
              <w:t>1.05x</w:t>
            </w:r>
          </w:p>
        </w:tc>
        <w:tc>
          <w:tcPr>
            <w:tcW w:type="dxa" w:w="1080"/>
          </w:tcPr>
          <w:p>
            <w:pPr>
              <w:spacing w:after="40" w:before="40"/>
              <w:jc w:val="right"/>
            </w:pPr>
            <w:r/>
            <w:r>
              <w:rPr>
                <w:rFonts w:ascii="Arial" w:hAnsi="Arial"/>
                <w:b w:val="0"/>
                <w:sz w:val="15"/>
              </w:rPr>
              <w:t>$1,011,387</w:t>
            </w:r>
          </w:p>
        </w:tc>
        <w:tc>
          <w:tcPr>
            <w:tcW w:type="dxa" w:w="1037"/>
          </w:tcPr>
          <w:p>
            <w:pPr>
              <w:spacing w:after="40" w:before="40"/>
              <w:jc w:val="right"/>
            </w:pPr>
            <w:r/>
            <w:r>
              <w:rPr>
                <w:rFonts w:ascii="Arial" w:hAnsi="Arial"/>
                <w:b w:val="0"/>
                <w:sz w:val="15"/>
              </w:rPr>
              <w:t>$2,297,000</w:t>
            </w:r>
          </w:p>
        </w:tc>
        <w:tc>
          <w:tcPr>
            <w:tcW w:type="dxa" w:w="936"/>
          </w:tcPr>
          <w:p>
            <w:pPr>
              <w:spacing w:after="40" w:before="40"/>
              <w:jc w:val="right"/>
            </w:pPr>
            <w:r/>
            <w:r>
              <w:rPr>
                <w:rFonts w:ascii="Arial" w:hAnsi="Arial"/>
                <w:b w:val="0"/>
                <w:sz w:val="15"/>
              </w:rPr>
              <w:t>5.3%</w:t>
            </w:r>
          </w:p>
        </w:tc>
      </w:tr>
      <w:tr>
        <w:tc>
          <w:tcPr>
            <w:tcW w:type="dxa" w:w="2736"/>
          </w:tcPr>
          <w:p>
            <w:pPr>
              <w:spacing w:after="40" w:before="40"/>
            </w:pPr>
            <w:r/>
            <w:r>
              <w:rPr>
                <w:rFonts w:ascii="Arial" w:hAnsi="Arial"/>
                <w:b w:val="0"/>
                <w:sz w:val="15"/>
              </w:rPr>
              <w:t>Hard costs +15%</w:t>
            </w:r>
          </w:p>
        </w:tc>
        <w:tc>
          <w:tcPr>
            <w:tcW w:type="dxa" w:w="1037"/>
          </w:tcPr>
          <w:p>
            <w:pPr>
              <w:spacing w:after="40" w:before="40"/>
              <w:jc w:val="right"/>
            </w:pPr>
            <w:r/>
            <w:r>
              <w:rPr>
                <w:rFonts w:ascii="Arial" w:hAnsi="Arial"/>
                <w:b w:val="0"/>
                <w:sz w:val="15"/>
              </w:rPr>
              <w:t>$376,502</w:t>
            </w:r>
          </w:p>
        </w:tc>
        <w:tc>
          <w:tcPr>
            <w:tcW w:type="dxa" w:w="893"/>
          </w:tcPr>
          <w:p>
            <w:pPr>
              <w:spacing w:after="40" w:before="40"/>
              <w:jc w:val="right"/>
            </w:pPr>
            <w:r/>
            <w:r>
              <w:rPr>
                <w:rFonts w:ascii="Arial" w:hAnsi="Arial"/>
                <w:b w:val="0"/>
                <w:sz w:val="15"/>
              </w:rPr>
              <w:t>1.43x</w:t>
            </w:r>
          </w:p>
        </w:tc>
        <w:tc>
          <w:tcPr>
            <w:tcW w:type="dxa" w:w="835"/>
          </w:tcPr>
          <w:p>
            <w:pPr>
              <w:spacing w:after="40" w:before="40"/>
              <w:jc w:val="right"/>
            </w:pPr>
            <w:r/>
            <w:r>
              <w:rPr>
                <w:rFonts w:ascii="Arial" w:hAnsi="Arial"/>
                <w:b w:val="0"/>
                <w:sz w:val="15"/>
              </w:rPr>
              <w:t>1.34x</w:t>
            </w:r>
          </w:p>
        </w:tc>
        <w:tc>
          <w:tcPr>
            <w:tcW w:type="dxa" w:w="979"/>
          </w:tcPr>
          <w:p>
            <w:pPr>
              <w:spacing w:after="40" w:before="40"/>
              <w:jc w:val="right"/>
            </w:pPr>
            <w:r/>
            <w:r>
              <w:rPr>
                <w:rFonts w:ascii="Arial" w:hAnsi="Arial"/>
                <w:b w:val="0"/>
                <w:sz w:val="15"/>
              </w:rPr>
              <w:t>1.27x</w:t>
            </w:r>
          </w:p>
        </w:tc>
        <w:tc>
          <w:tcPr>
            <w:tcW w:type="dxa" w:w="1080"/>
          </w:tcPr>
          <w:p>
            <w:pPr>
              <w:spacing w:after="40" w:before="40"/>
              <w:jc w:val="right"/>
            </w:pPr>
            <w:r/>
            <w:r>
              <w:rPr>
                <w:rFonts w:ascii="Arial" w:hAnsi="Arial"/>
                <w:b w:val="0"/>
                <w:sz w:val="15"/>
              </w:rPr>
              <w:t>$1,484,425</w:t>
            </w:r>
          </w:p>
        </w:tc>
        <w:tc>
          <w:tcPr>
            <w:tcW w:type="dxa" w:w="1037"/>
          </w:tcPr>
          <w:p>
            <w:pPr>
              <w:spacing w:after="40" w:before="40"/>
              <w:jc w:val="right"/>
            </w:pPr>
            <w:r/>
            <w:r>
              <w:rPr>
                <w:rFonts w:ascii="Arial" w:hAnsi="Arial"/>
                <w:b w:val="0"/>
                <w:sz w:val="15"/>
              </w:rPr>
              <w:t>$2,724,000</w:t>
            </w:r>
          </w:p>
        </w:tc>
        <w:tc>
          <w:tcPr>
            <w:tcW w:type="dxa" w:w="936"/>
          </w:tcPr>
          <w:p>
            <w:pPr>
              <w:spacing w:after="40" w:before="40"/>
              <w:jc w:val="right"/>
            </w:pPr>
            <w:r/>
            <w:r>
              <w:rPr>
                <w:rFonts w:ascii="Arial" w:hAnsi="Arial"/>
                <w:b w:val="0"/>
                <w:sz w:val="15"/>
              </w:rPr>
              <w:t>7.5%</w:t>
            </w:r>
          </w:p>
        </w:tc>
      </w:tr>
      <w:tr>
        <w:tc>
          <w:tcPr>
            <w:tcW w:type="dxa" w:w="2736"/>
          </w:tcPr>
          <w:p>
            <w:pPr>
              <w:spacing w:after="40" w:before="40"/>
            </w:pPr>
            <w:r/>
            <w:r>
              <w:rPr>
                <w:rFonts w:ascii="Arial" w:hAnsi="Arial"/>
                <w:b w:val="0"/>
                <w:sz w:val="15"/>
              </w:rPr>
              <w:t>No historic tax credit equity (federal or state)</w:t>
            </w:r>
          </w:p>
        </w:tc>
        <w:tc>
          <w:tcPr>
            <w:tcW w:type="dxa" w:w="1037"/>
          </w:tcPr>
          <w:p>
            <w:pPr>
              <w:spacing w:after="40" w:before="40"/>
              <w:jc w:val="right"/>
            </w:pPr>
            <w:r/>
            <w:r>
              <w:rPr>
                <w:rFonts w:ascii="Arial" w:hAnsi="Arial"/>
                <w:b w:val="0"/>
                <w:sz w:val="15"/>
              </w:rPr>
              <w:t>$376,502</w:t>
            </w:r>
          </w:p>
        </w:tc>
        <w:tc>
          <w:tcPr>
            <w:tcW w:type="dxa" w:w="893"/>
          </w:tcPr>
          <w:p>
            <w:pPr>
              <w:spacing w:after="40" w:before="40"/>
              <w:jc w:val="right"/>
            </w:pPr>
            <w:r/>
            <w:r>
              <w:rPr>
                <w:rFonts w:ascii="Arial" w:hAnsi="Arial"/>
                <w:b w:val="0"/>
                <w:sz w:val="15"/>
              </w:rPr>
              <w:t>1.45x</w:t>
            </w:r>
          </w:p>
        </w:tc>
        <w:tc>
          <w:tcPr>
            <w:tcW w:type="dxa" w:w="835"/>
          </w:tcPr>
          <w:p>
            <w:pPr>
              <w:spacing w:after="40" w:before="40"/>
              <w:jc w:val="right"/>
            </w:pPr>
            <w:r/>
            <w:r>
              <w:rPr>
                <w:rFonts w:ascii="Arial" w:hAnsi="Arial"/>
                <w:b w:val="0"/>
                <w:sz w:val="15"/>
              </w:rPr>
              <w:t>1.34x</w:t>
            </w:r>
          </w:p>
        </w:tc>
        <w:tc>
          <w:tcPr>
            <w:tcW w:type="dxa" w:w="979"/>
          </w:tcPr>
          <w:p>
            <w:pPr>
              <w:spacing w:after="40" w:before="40"/>
              <w:jc w:val="right"/>
            </w:pPr>
            <w:r/>
            <w:r>
              <w:rPr>
                <w:rFonts w:ascii="Arial" w:hAnsi="Arial"/>
                <w:b w:val="0"/>
                <w:sz w:val="15"/>
              </w:rPr>
              <w:t>1.27x</w:t>
            </w:r>
          </w:p>
        </w:tc>
        <w:tc>
          <w:tcPr>
            <w:tcW w:type="dxa" w:w="1080"/>
          </w:tcPr>
          <w:p>
            <w:pPr>
              <w:spacing w:after="40" w:before="40"/>
              <w:jc w:val="right"/>
            </w:pPr>
            <w:r/>
            <w:r>
              <w:rPr>
                <w:rFonts w:ascii="Arial" w:hAnsi="Arial"/>
                <w:b w:val="0"/>
                <w:sz w:val="15"/>
              </w:rPr>
              <w:t>$1,819,874</w:t>
            </w:r>
          </w:p>
        </w:tc>
        <w:tc>
          <w:tcPr>
            <w:tcW w:type="dxa" w:w="1037"/>
          </w:tcPr>
          <w:p>
            <w:pPr>
              <w:spacing w:after="40" w:before="40"/>
              <w:jc w:val="right"/>
            </w:pPr>
            <w:r/>
            <w:r>
              <w:rPr>
                <w:rFonts w:ascii="Arial" w:hAnsi="Arial"/>
                <w:b w:val="0"/>
                <w:sz w:val="15"/>
              </w:rPr>
              <w:t>$2,724,000</w:t>
            </w:r>
          </w:p>
        </w:tc>
        <w:tc>
          <w:tcPr>
            <w:tcW w:type="dxa" w:w="936"/>
          </w:tcPr>
          <w:p>
            <w:pPr>
              <w:spacing w:after="40" w:before="40"/>
              <w:jc w:val="right"/>
            </w:pPr>
            <w:r/>
            <w:r>
              <w:rPr>
                <w:rFonts w:ascii="Arial" w:hAnsi="Arial"/>
                <w:b w:val="0"/>
                <w:sz w:val="15"/>
              </w:rPr>
              <w:t>5.7%</w:t>
            </w:r>
          </w:p>
        </w:tc>
      </w:tr>
      <w:tr>
        <w:tc>
          <w:tcPr>
            <w:tcW w:type="dxa" w:w="2736"/>
          </w:tcPr>
          <w:p>
            <w:pPr>
              <w:spacing w:after="40" w:before="40"/>
            </w:pPr>
            <w:r/>
            <w:r>
              <w:rPr>
                <w:rFonts w:ascii="Arial" w:hAnsi="Arial"/>
                <w:b w:val="0"/>
                <w:sz w:val="15"/>
              </w:rPr>
              <w:t>Expenses +15%</w:t>
            </w:r>
          </w:p>
        </w:tc>
        <w:tc>
          <w:tcPr>
            <w:tcW w:type="dxa" w:w="1037"/>
          </w:tcPr>
          <w:p>
            <w:pPr>
              <w:spacing w:after="40" w:before="40"/>
              <w:jc w:val="right"/>
            </w:pPr>
            <w:r/>
            <w:r>
              <w:rPr>
                <w:rFonts w:ascii="Arial" w:hAnsi="Arial"/>
                <w:b w:val="0"/>
                <w:sz w:val="15"/>
              </w:rPr>
              <w:t>$344,314</w:t>
            </w:r>
          </w:p>
        </w:tc>
        <w:tc>
          <w:tcPr>
            <w:tcW w:type="dxa" w:w="893"/>
          </w:tcPr>
          <w:p>
            <w:pPr>
              <w:spacing w:after="40" w:before="40"/>
              <w:jc w:val="right"/>
            </w:pPr>
            <w:r/>
            <w:r>
              <w:rPr>
                <w:rFonts w:ascii="Arial" w:hAnsi="Arial"/>
                <w:b w:val="0"/>
                <w:sz w:val="15"/>
              </w:rPr>
              <w:t>1.33x</w:t>
            </w:r>
          </w:p>
        </w:tc>
        <w:tc>
          <w:tcPr>
            <w:tcW w:type="dxa" w:w="835"/>
          </w:tcPr>
          <w:p>
            <w:pPr>
              <w:spacing w:after="40" w:before="40"/>
              <w:jc w:val="right"/>
            </w:pPr>
            <w:r/>
            <w:r>
              <w:rPr>
                <w:rFonts w:ascii="Arial" w:hAnsi="Arial"/>
                <w:b w:val="0"/>
                <w:sz w:val="15"/>
              </w:rPr>
              <w:t>1.23x</w:t>
            </w:r>
          </w:p>
        </w:tc>
        <w:tc>
          <w:tcPr>
            <w:tcW w:type="dxa" w:w="979"/>
          </w:tcPr>
          <w:p>
            <w:pPr>
              <w:spacing w:after="40" w:before="40"/>
              <w:jc w:val="right"/>
            </w:pPr>
            <w:r/>
            <w:r>
              <w:rPr>
                <w:rFonts w:ascii="Arial" w:hAnsi="Arial"/>
                <w:b w:val="0"/>
                <w:sz w:val="15"/>
              </w:rPr>
              <w:t>1.16x</w:t>
            </w:r>
          </w:p>
        </w:tc>
        <w:tc>
          <w:tcPr>
            <w:tcW w:type="dxa" w:w="1080"/>
          </w:tcPr>
          <w:p>
            <w:pPr>
              <w:spacing w:after="40" w:before="40"/>
              <w:jc w:val="right"/>
            </w:pPr>
            <w:r/>
            <w:r>
              <w:rPr>
                <w:rFonts w:ascii="Arial" w:hAnsi="Arial"/>
                <w:b w:val="0"/>
                <w:sz w:val="15"/>
              </w:rPr>
              <w:t>$954,938</w:t>
            </w:r>
          </w:p>
        </w:tc>
        <w:tc>
          <w:tcPr>
            <w:tcW w:type="dxa" w:w="1037"/>
          </w:tcPr>
          <w:p>
            <w:pPr>
              <w:spacing w:after="40" w:before="40"/>
              <w:jc w:val="right"/>
            </w:pPr>
            <w:r/>
            <w:r>
              <w:rPr>
                <w:rFonts w:ascii="Arial" w:hAnsi="Arial"/>
                <w:b w:val="0"/>
                <w:sz w:val="15"/>
              </w:rPr>
              <w:t>$2,497,000</w:t>
            </w:r>
          </w:p>
        </w:tc>
        <w:tc>
          <w:tcPr>
            <w:tcW w:type="dxa" w:w="936"/>
          </w:tcPr>
          <w:p>
            <w:pPr>
              <w:spacing w:after="40" w:before="40"/>
              <w:jc w:val="right"/>
            </w:pPr>
            <w:r/>
            <w:r>
              <w:rPr>
                <w:rFonts w:ascii="Arial" w:hAnsi="Arial"/>
                <w:b w:val="0"/>
                <w:sz w:val="15"/>
              </w:rPr>
              <w:t>4.5%</w:t>
            </w:r>
          </w:p>
        </w:tc>
      </w:tr>
      <w:tr>
        <w:tc>
          <w:tcPr>
            <w:tcW w:type="dxa" w:w="2736"/>
          </w:tcPr>
          <w:p>
            <w:pPr>
              <w:spacing w:after="40" w:before="40"/>
            </w:pPr>
            <w:r/>
            <w:r>
              <w:rPr>
                <w:rFonts w:ascii="Arial" w:hAnsi="Arial"/>
                <w:b w:val="0"/>
                <w:sz w:val="15"/>
              </w:rPr>
              <w:t>Exit cap rate 9.0%</w:t>
            </w:r>
          </w:p>
        </w:tc>
        <w:tc>
          <w:tcPr>
            <w:tcW w:type="dxa" w:w="1037"/>
          </w:tcPr>
          <w:p>
            <w:pPr>
              <w:spacing w:after="40" w:before="40"/>
              <w:jc w:val="right"/>
            </w:pPr>
            <w:r/>
            <w:r>
              <w:rPr>
                <w:rFonts w:ascii="Arial" w:hAnsi="Arial"/>
                <w:b w:val="0"/>
                <w:sz w:val="15"/>
              </w:rPr>
              <w:t>$376,502</w:t>
            </w:r>
          </w:p>
        </w:tc>
        <w:tc>
          <w:tcPr>
            <w:tcW w:type="dxa" w:w="893"/>
          </w:tcPr>
          <w:p>
            <w:pPr>
              <w:spacing w:after="40" w:before="40"/>
              <w:jc w:val="right"/>
            </w:pPr>
            <w:r/>
            <w:r>
              <w:rPr>
                <w:rFonts w:ascii="Arial" w:hAnsi="Arial"/>
                <w:b w:val="0"/>
                <w:sz w:val="15"/>
              </w:rPr>
              <w:t>1.45x</w:t>
            </w:r>
          </w:p>
        </w:tc>
        <w:tc>
          <w:tcPr>
            <w:tcW w:type="dxa" w:w="835"/>
          </w:tcPr>
          <w:p>
            <w:pPr>
              <w:spacing w:after="40" w:before="40"/>
              <w:jc w:val="right"/>
            </w:pPr>
            <w:r/>
            <w:r>
              <w:rPr>
                <w:rFonts w:ascii="Arial" w:hAnsi="Arial"/>
                <w:b w:val="0"/>
                <w:sz w:val="15"/>
              </w:rPr>
              <w:t>1.34x</w:t>
            </w:r>
          </w:p>
        </w:tc>
        <w:tc>
          <w:tcPr>
            <w:tcW w:type="dxa" w:w="979"/>
          </w:tcPr>
          <w:p>
            <w:pPr>
              <w:spacing w:after="40" w:before="40"/>
              <w:jc w:val="right"/>
            </w:pPr>
            <w:r/>
            <w:r>
              <w:rPr>
                <w:rFonts w:ascii="Arial" w:hAnsi="Arial"/>
                <w:b w:val="0"/>
                <w:sz w:val="15"/>
              </w:rPr>
              <w:t>1.27x</w:t>
            </w:r>
          </w:p>
        </w:tc>
        <w:tc>
          <w:tcPr>
            <w:tcW w:type="dxa" w:w="1080"/>
          </w:tcPr>
          <w:p>
            <w:pPr>
              <w:spacing w:after="40" w:before="40"/>
              <w:jc w:val="right"/>
            </w:pPr>
            <w:r/>
            <w:r>
              <w:rPr>
                <w:rFonts w:ascii="Arial" w:hAnsi="Arial"/>
                <w:b w:val="0"/>
                <w:sz w:val="15"/>
              </w:rPr>
              <w:t>$943,874</w:t>
            </w:r>
          </w:p>
        </w:tc>
        <w:tc>
          <w:tcPr>
            <w:tcW w:type="dxa" w:w="1037"/>
          </w:tcPr>
          <w:p>
            <w:pPr>
              <w:spacing w:after="40" w:before="40"/>
              <w:jc w:val="right"/>
            </w:pPr>
            <w:r/>
            <w:r>
              <w:rPr>
                <w:rFonts w:ascii="Arial" w:hAnsi="Arial"/>
                <w:b w:val="0"/>
                <w:sz w:val="15"/>
              </w:rPr>
              <w:t>$2,724,000</w:t>
            </w:r>
          </w:p>
        </w:tc>
        <w:tc>
          <w:tcPr>
            <w:tcW w:type="dxa" w:w="936"/>
          </w:tcPr>
          <w:p>
            <w:pPr>
              <w:spacing w:after="40" w:before="40"/>
              <w:jc w:val="right"/>
            </w:pPr>
            <w:r/>
            <w:r>
              <w:rPr>
                <w:rFonts w:ascii="Arial" w:hAnsi="Arial"/>
                <w:b w:val="0"/>
                <w:sz w:val="15"/>
              </w:rPr>
              <w:t>8.6%</w:t>
            </w:r>
          </w:p>
        </w:tc>
      </w:tr>
      <w:tr>
        <w:tc>
          <w:tcPr>
            <w:tcW w:type="dxa" w:w="2736"/>
          </w:tcPr>
          <w:p>
            <w:pPr>
              <w:spacing w:after="40" w:before="40"/>
            </w:pPr>
            <w:r/>
            <w:r>
              <w:rPr>
                <w:rFonts w:ascii="Arial" w:hAnsi="Arial"/>
                <w:b w:val="0"/>
                <w:sz w:val="15"/>
              </w:rPr>
              <w:t>Market rents + rates +100 bps + costs +10%</w:t>
            </w:r>
          </w:p>
        </w:tc>
        <w:tc>
          <w:tcPr>
            <w:tcW w:type="dxa" w:w="1037"/>
          </w:tcPr>
          <w:p>
            <w:pPr>
              <w:spacing w:after="40" w:before="40"/>
              <w:jc w:val="right"/>
            </w:pPr>
            <w:r/>
            <w:r>
              <w:rPr>
                <w:rFonts w:ascii="Arial" w:hAnsi="Arial"/>
                <w:b w:val="0"/>
                <w:sz w:val="15"/>
              </w:rPr>
              <w:t>$326,663</w:t>
            </w:r>
          </w:p>
        </w:tc>
        <w:tc>
          <w:tcPr>
            <w:tcW w:type="dxa" w:w="893"/>
          </w:tcPr>
          <w:p>
            <w:pPr>
              <w:spacing w:after="40" w:before="40"/>
              <w:jc w:val="right"/>
            </w:pPr>
            <w:r/>
            <w:r>
              <w:rPr>
                <w:rFonts w:ascii="Arial" w:hAnsi="Arial"/>
                <w:b w:val="0"/>
                <w:sz w:val="15"/>
              </w:rPr>
              <w:t>1.13x</w:t>
            </w:r>
          </w:p>
        </w:tc>
        <w:tc>
          <w:tcPr>
            <w:tcW w:type="dxa" w:w="835"/>
          </w:tcPr>
          <w:p>
            <w:pPr>
              <w:spacing w:after="40" w:before="40"/>
              <w:jc w:val="right"/>
            </w:pPr>
            <w:r/>
            <w:r>
              <w:rPr>
                <w:rFonts w:ascii="Arial" w:hAnsi="Arial"/>
                <w:b w:val="0"/>
                <w:sz w:val="15"/>
              </w:rPr>
              <w:t>1.16x</w:t>
            </w:r>
          </w:p>
        </w:tc>
        <w:tc>
          <w:tcPr>
            <w:tcW w:type="dxa" w:w="979"/>
          </w:tcPr>
          <w:p>
            <w:pPr>
              <w:spacing w:after="40" w:before="40"/>
              <w:jc w:val="right"/>
            </w:pPr>
            <w:r/>
            <w:r>
              <w:rPr>
                <w:rFonts w:ascii="Arial" w:hAnsi="Arial"/>
                <w:b w:val="0"/>
                <w:sz w:val="15"/>
              </w:rPr>
              <w:t>1.16x</w:t>
            </w:r>
          </w:p>
        </w:tc>
        <w:tc>
          <w:tcPr>
            <w:tcW w:type="dxa" w:w="1080"/>
          </w:tcPr>
          <w:p>
            <w:pPr>
              <w:spacing w:after="40" w:before="40"/>
              <w:jc w:val="right"/>
            </w:pPr>
            <w:r/>
            <w:r>
              <w:rPr>
                <w:rFonts w:ascii="Arial" w:hAnsi="Arial"/>
                <w:b w:val="0"/>
                <w:sz w:val="15"/>
              </w:rPr>
              <w:t>$1,337,438</w:t>
            </w:r>
          </w:p>
        </w:tc>
        <w:tc>
          <w:tcPr>
            <w:tcW w:type="dxa" w:w="1037"/>
          </w:tcPr>
          <w:p>
            <w:pPr>
              <w:spacing w:after="40" w:before="40"/>
              <w:jc w:val="right"/>
            </w:pPr>
            <w:r/>
            <w:r>
              <w:rPr>
                <w:rFonts w:ascii="Arial" w:hAnsi="Arial"/>
                <w:b w:val="0"/>
                <w:sz w:val="15"/>
              </w:rPr>
              <w:t>$2,520,000</w:t>
            </w:r>
          </w:p>
        </w:tc>
        <w:tc>
          <w:tcPr>
            <w:tcW w:type="dxa" w:w="936"/>
          </w:tcPr>
          <w:p>
            <w:pPr>
              <w:spacing w:after="40" w:before="40"/>
              <w:jc w:val="right"/>
            </w:pPr>
            <w:r/>
            <w:r>
              <w:rPr>
                <w:rFonts w:ascii="Arial" w:hAnsi="Arial"/>
                <w:b w:val="0"/>
                <w:sz w:val="15"/>
              </w:rPr>
              <w:t>n/a</w:t>
            </w:r>
          </w:p>
        </w:tc>
      </w:tr>
      <w:tr>
        <w:tc>
          <w:tcPr>
            <w:tcW w:type="dxa" w:w="2736"/>
          </w:tcPr>
          <w:p>
            <w:pPr>
              <w:spacing w:after="40" w:before="40"/>
            </w:pPr>
            <w:r/>
            <w:r>
              <w:rPr>
                <w:rFonts w:ascii="Arial" w:hAnsi="Arial"/>
                <w:b w:val="0"/>
                <w:sz w:val="15"/>
              </w:rPr>
              <w:t>No furnished premium in market rents</w:t>
            </w:r>
          </w:p>
        </w:tc>
        <w:tc>
          <w:tcPr>
            <w:tcW w:type="dxa" w:w="1037"/>
          </w:tcPr>
          <w:p>
            <w:pPr>
              <w:spacing w:after="40" w:before="40"/>
              <w:jc w:val="right"/>
            </w:pPr>
            <w:r/>
            <w:r>
              <w:rPr>
                <w:rFonts w:ascii="Arial" w:hAnsi="Arial"/>
                <w:b w:val="0"/>
                <w:sz w:val="15"/>
              </w:rPr>
              <w:t>$376,502</w:t>
            </w:r>
          </w:p>
        </w:tc>
        <w:tc>
          <w:tcPr>
            <w:tcW w:type="dxa" w:w="893"/>
          </w:tcPr>
          <w:p>
            <w:pPr>
              <w:spacing w:after="40" w:before="40"/>
              <w:jc w:val="right"/>
            </w:pPr>
            <w:r/>
            <w:r>
              <w:rPr>
                <w:rFonts w:ascii="Arial" w:hAnsi="Arial"/>
                <w:b w:val="0"/>
                <w:sz w:val="15"/>
              </w:rPr>
              <w:t>1.45x</w:t>
            </w:r>
          </w:p>
        </w:tc>
        <w:tc>
          <w:tcPr>
            <w:tcW w:type="dxa" w:w="835"/>
          </w:tcPr>
          <w:p>
            <w:pPr>
              <w:spacing w:after="40" w:before="40"/>
              <w:jc w:val="right"/>
            </w:pPr>
            <w:r/>
            <w:r>
              <w:rPr>
                <w:rFonts w:ascii="Arial" w:hAnsi="Arial"/>
                <w:b w:val="0"/>
                <w:sz w:val="15"/>
              </w:rPr>
              <w:t>1.34x</w:t>
            </w:r>
          </w:p>
        </w:tc>
        <w:tc>
          <w:tcPr>
            <w:tcW w:type="dxa" w:w="979"/>
          </w:tcPr>
          <w:p>
            <w:pPr>
              <w:spacing w:after="40" w:before="40"/>
              <w:jc w:val="right"/>
            </w:pPr>
            <w:r/>
            <w:r>
              <w:rPr>
                <w:rFonts w:ascii="Arial" w:hAnsi="Arial"/>
                <w:b w:val="0"/>
                <w:sz w:val="15"/>
              </w:rPr>
              <w:t>1.15x</w:t>
            </w:r>
          </w:p>
        </w:tc>
        <w:tc>
          <w:tcPr>
            <w:tcW w:type="dxa" w:w="1080"/>
          </w:tcPr>
          <w:p>
            <w:pPr>
              <w:spacing w:after="40" w:before="40"/>
              <w:jc w:val="right"/>
            </w:pPr>
            <w:r/>
            <w:r>
              <w:rPr>
                <w:rFonts w:ascii="Arial" w:hAnsi="Arial"/>
                <w:b w:val="0"/>
                <w:sz w:val="15"/>
              </w:rPr>
              <w:t>$943,874</w:t>
            </w:r>
          </w:p>
        </w:tc>
        <w:tc>
          <w:tcPr>
            <w:tcW w:type="dxa" w:w="1037"/>
          </w:tcPr>
          <w:p>
            <w:pPr>
              <w:spacing w:after="40" w:before="40"/>
              <w:jc w:val="right"/>
            </w:pPr>
            <w:r/>
            <w:r>
              <w:rPr>
                <w:rFonts w:ascii="Arial" w:hAnsi="Arial"/>
                <w:b w:val="0"/>
                <w:sz w:val="15"/>
              </w:rPr>
              <w:t>$2,503,000</w:t>
            </w:r>
          </w:p>
        </w:tc>
        <w:tc>
          <w:tcPr>
            <w:tcW w:type="dxa" w:w="936"/>
          </w:tcPr>
          <w:p>
            <w:pPr>
              <w:spacing w:after="40" w:before="40"/>
              <w:jc w:val="right"/>
            </w:pPr>
            <w:r/>
            <w:r>
              <w:rPr>
                <w:rFonts w:ascii="Arial" w:hAnsi="Arial"/>
                <w:b w:val="0"/>
                <w:sz w:val="15"/>
              </w:rPr>
              <w:t>11.6%</w:t>
            </w:r>
          </w:p>
        </w:tc>
      </w:tr>
      <w:tr>
        <w:tc>
          <w:tcPr>
            <w:tcW w:type="dxa" w:w="2736"/>
          </w:tcPr>
          <w:p>
            <w:pPr>
              <w:spacing w:after="40" w:before="40"/>
            </w:pPr>
            <w:r/>
            <w:r>
              <w:rPr>
                <w:rFonts w:ascii="Arial" w:hAnsi="Arial"/>
                <w:b w:val="0"/>
                <w:sz w:val="15"/>
              </w:rPr>
              <w:t>Option — $150/mo furnished amenity fee per apartment</w:t>
            </w:r>
          </w:p>
        </w:tc>
        <w:tc>
          <w:tcPr>
            <w:tcW w:type="dxa" w:w="1037"/>
          </w:tcPr>
          <w:p>
            <w:pPr>
              <w:spacing w:after="40" w:before="40"/>
              <w:jc w:val="right"/>
            </w:pPr>
            <w:r/>
            <w:r>
              <w:rPr>
                <w:rFonts w:ascii="Arial" w:hAnsi="Arial"/>
                <w:b w:val="0"/>
                <w:sz w:val="15"/>
              </w:rPr>
              <w:t>$407,282</w:t>
            </w:r>
          </w:p>
        </w:tc>
        <w:tc>
          <w:tcPr>
            <w:tcW w:type="dxa" w:w="893"/>
          </w:tcPr>
          <w:p>
            <w:pPr>
              <w:spacing w:after="40" w:before="40"/>
              <w:jc w:val="right"/>
            </w:pPr>
            <w:r/>
            <w:r>
              <w:rPr>
                <w:rFonts w:ascii="Arial" w:hAnsi="Arial"/>
                <w:b w:val="0"/>
                <w:sz w:val="15"/>
              </w:rPr>
              <w:t>1.57x</w:t>
            </w:r>
          </w:p>
        </w:tc>
        <w:tc>
          <w:tcPr>
            <w:tcW w:type="dxa" w:w="835"/>
          </w:tcPr>
          <w:p>
            <w:pPr>
              <w:spacing w:after="40" w:before="40"/>
              <w:jc w:val="right"/>
            </w:pPr>
            <w:r/>
            <w:r>
              <w:rPr>
                <w:rFonts w:ascii="Arial" w:hAnsi="Arial"/>
                <w:b w:val="0"/>
                <w:sz w:val="15"/>
              </w:rPr>
              <w:t>1.44x</w:t>
            </w:r>
          </w:p>
        </w:tc>
        <w:tc>
          <w:tcPr>
            <w:tcW w:type="dxa" w:w="979"/>
          </w:tcPr>
          <w:p>
            <w:pPr>
              <w:spacing w:after="40" w:before="40"/>
              <w:jc w:val="right"/>
            </w:pPr>
            <w:r/>
            <w:r>
              <w:rPr>
                <w:rFonts w:ascii="Arial" w:hAnsi="Arial"/>
                <w:b w:val="0"/>
                <w:sz w:val="15"/>
              </w:rPr>
              <w:t>1.38x</w:t>
            </w:r>
          </w:p>
        </w:tc>
        <w:tc>
          <w:tcPr>
            <w:tcW w:type="dxa" w:w="1080"/>
          </w:tcPr>
          <w:p>
            <w:pPr>
              <w:spacing w:after="40" w:before="40"/>
              <w:jc w:val="right"/>
            </w:pPr>
            <w:r/>
            <w:r>
              <w:rPr>
                <w:rFonts w:ascii="Arial" w:hAnsi="Arial"/>
                <w:b w:val="0"/>
                <w:sz w:val="15"/>
              </w:rPr>
              <w:t>$944,435</w:t>
            </w:r>
          </w:p>
        </w:tc>
        <w:tc>
          <w:tcPr>
            <w:tcW w:type="dxa" w:w="1037"/>
          </w:tcPr>
          <w:p>
            <w:pPr>
              <w:spacing w:after="40" w:before="40"/>
              <w:jc w:val="right"/>
            </w:pPr>
            <w:r/>
            <w:r>
              <w:rPr>
                <w:rFonts w:ascii="Arial" w:hAnsi="Arial"/>
                <w:b w:val="0"/>
                <w:sz w:val="15"/>
              </w:rPr>
              <w:t>$2,943,000</w:t>
            </w:r>
          </w:p>
        </w:tc>
        <w:tc>
          <w:tcPr>
            <w:tcW w:type="dxa" w:w="936"/>
          </w:tcPr>
          <w:p>
            <w:pPr>
              <w:spacing w:after="40" w:before="40"/>
              <w:jc w:val="right"/>
            </w:pPr>
            <w:r/>
            <w:r>
              <w:rPr>
                <w:rFonts w:ascii="Arial" w:hAnsi="Arial"/>
                <w:b w:val="0"/>
                <w:sz w:val="15"/>
              </w:rPr>
              <w:t>16.3%</w:t>
            </w:r>
          </w:p>
        </w:tc>
      </w:tr>
      <w:tr>
        <w:tc>
          <w:tcPr>
            <w:tcW w:type="dxa" w:w="2736"/>
          </w:tcPr>
          <w:p>
            <w:pPr>
              <w:spacing w:after="40" w:before="40"/>
            </w:pPr>
            <w:r/>
            <w:r>
              <w:rPr>
                <w:rFonts w:ascii="Arial" w:hAnsi="Arial"/>
                <w:b w:val="0"/>
                <w:sz w:val="15"/>
              </w:rPr>
              <w:t>Upside — NIIF also refinances 1816 at 5.0%</w:t>
            </w:r>
          </w:p>
        </w:tc>
        <w:tc>
          <w:tcPr>
            <w:tcW w:type="dxa" w:w="1037"/>
          </w:tcPr>
          <w:p>
            <w:pPr>
              <w:spacing w:after="40" w:before="40"/>
              <w:jc w:val="right"/>
            </w:pPr>
            <w:r/>
            <w:r>
              <w:rPr>
                <w:rFonts w:ascii="Arial" w:hAnsi="Arial"/>
                <w:b w:val="0"/>
                <w:sz w:val="15"/>
              </w:rPr>
              <w:t>$376,502</w:t>
            </w:r>
          </w:p>
        </w:tc>
        <w:tc>
          <w:tcPr>
            <w:tcW w:type="dxa" w:w="893"/>
          </w:tcPr>
          <w:p>
            <w:pPr>
              <w:spacing w:after="40" w:before="40"/>
              <w:jc w:val="right"/>
            </w:pPr>
            <w:r/>
            <w:r>
              <w:rPr>
                <w:rFonts w:ascii="Arial" w:hAnsi="Arial"/>
                <w:b w:val="0"/>
                <w:sz w:val="15"/>
              </w:rPr>
              <w:t>1.53x</w:t>
            </w:r>
          </w:p>
        </w:tc>
        <w:tc>
          <w:tcPr>
            <w:tcW w:type="dxa" w:w="835"/>
          </w:tcPr>
          <w:p>
            <w:pPr>
              <w:spacing w:after="40" w:before="40"/>
              <w:jc w:val="right"/>
            </w:pPr>
            <w:r/>
            <w:r>
              <w:rPr>
                <w:rFonts w:ascii="Arial" w:hAnsi="Arial"/>
                <w:b w:val="0"/>
                <w:sz w:val="15"/>
              </w:rPr>
              <w:t>1.34x</w:t>
            </w:r>
          </w:p>
        </w:tc>
        <w:tc>
          <w:tcPr>
            <w:tcW w:type="dxa" w:w="979"/>
          </w:tcPr>
          <w:p>
            <w:pPr>
              <w:spacing w:after="40" w:before="40"/>
              <w:jc w:val="right"/>
            </w:pPr>
            <w:r/>
            <w:r>
              <w:rPr>
                <w:rFonts w:ascii="Arial" w:hAnsi="Arial"/>
                <w:b w:val="0"/>
                <w:sz w:val="15"/>
              </w:rPr>
              <w:t>1.27x</w:t>
            </w:r>
          </w:p>
        </w:tc>
        <w:tc>
          <w:tcPr>
            <w:tcW w:type="dxa" w:w="1080"/>
          </w:tcPr>
          <w:p>
            <w:pPr>
              <w:spacing w:after="40" w:before="40"/>
              <w:jc w:val="right"/>
            </w:pPr>
            <w:r/>
            <w:r>
              <w:rPr>
                <w:rFonts w:ascii="Arial" w:hAnsi="Arial"/>
                <w:b w:val="0"/>
                <w:sz w:val="15"/>
              </w:rPr>
              <w:t>$943,874</w:t>
            </w:r>
          </w:p>
        </w:tc>
        <w:tc>
          <w:tcPr>
            <w:tcW w:type="dxa" w:w="1037"/>
          </w:tcPr>
          <w:p>
            <w:pPr>
              <w:spacing w:after="40" w:before="40"/>
              <w:jc w:val="right"/>
            </w:pPr>
            <w:r/>
            <w:r>
              <w:rPr>
                <w:rFonts w:ascii="Arial" w:hAnsi="Arial"/>
                <w:b w:val="0"/>
                <w:sz w:val="15"/>
              </w:rPr>
              <w:t>$2,724,000</w:t>
            </w:r>
          </w:p>
        </w:tc>
        <w:tc>
          <w:tcPr>
            <w:tcW w:type="dxa" w:w="936"/>
          </w:tcPr>
          <w:p>
            <w:pPr>
              <w:spacing w:after="40" w:before="40"/>
              <w:jc w:val="right"/>
            </w:pPr>
            <w:r/>
            <w:r>
              <w:rPr>
                <w:rFonts w:ascii="Arial" w:hAnsi="Arial"/>
                <w:b w:val="0"/>
                <w:sz w:val="15"/>
              </w:rPr>
              <w:t>12.9%</w:t>
            </w:r>
          </w:p>
        </w:tc>
      </w:tr>
    </w:tbl>
    <w:p>
      <w:pPr>
        <w:spacing w:after="200" w:before="0"/>
      </w:pPr>
      <w:r>
        <w:rPr>
          <w:b w:val="0"/>
          <w:i/>
          <w:color w:val="595959"/>
          <w:sz w:val="17"/>
        </w:rPr>
        <w:t>n/a = the sponsor does not recover its equity in that case, so an IRR is undefined.</w:t>
      </w:r>
    </w:p>
    <w:p>
      <w:pPr>
        <w:pStyle w:val="Heading2"/>
        <w:keepNext/>
        <w:spacing w:after="80" w:before="240"/>
      </w:pPr>
      <w:r>
        <w:rPr>
          <w:rFonts w:ascii="Arial" w:hAnsi="Arial"/>
          <w:b/>
          <w:i w:val="0"/>
          <w:color w:val="1F2A44"/>
          <w:sz w:val="23"/>
        </w:rPr>
        <w:t>What the stress tests show</w:t>
      </w:r>
    </w:p>
    <w:p>
      <w:pPr>
        <w:pStyle w:val="ListBullet"/>
        <w:spacing w:after="60"/>
      </w:pPr>
      <w:r>
        <w:rPr>
          <w:rFonts w:ascii="Arial" w:hAnsi="Arial"/>
          <w:sz w:val="21"/>
        </w:rPr>
        <w:t>The NIIF loan covers at 1.27x on market rents, above the 1.25x covenant, and the consolidated deal covers at 1.45x. Coverage, not value, is the binding constraint in most downside cases.</w:t>
      </w:r>
    </w:p>
    <w:p>
      <w:pPr>
        <w:pStyle w:val="ListBullet"/>
        <w:spacing w:after="60"/>
      </w:pPr>
      <w:r>
        <w:rPr>
          <w:rFonts w:ascii="Arial" w:hAnsi="Arial"/>
          <w:sz w:val="21"/>
        </w:rPr>
        <w:t>A 200 basis point rate rise is the sharpest single risk: NIIF coverage falls to 1.11x and the gap request grows by about $68,000. A rate cap or an earlier rate lock is the mitigant.</w:t>
      </w:r>
    </w:p>
    <w:p>
      <w:pPr>
        <w:pStyle w:val="ListBullet"/>
        <w:spacing w:after="60"/>
      </w:pPr>
      <w:r>
        <w:rPr>
          <w:rFonts w:ascii="Arial" w:hAnsi="Arial"/>
          <w:sz w:val="21"/>
        </w:rPr>
        <w:t>Losing both historic tax credits is the largest dollar risk — the gap request would rise to about $1.82M — which is why Part 1 filings go in this fall and the MHT Small Commercial credit is kept as a fallback.</w:t>
      </w:r>
    </w:p>
    <w:p>
      <w:pPr>
        <w:pStyle w:val="ListBullet"/>
        <w:spacing w:after="60"/>
      </w:pPr>
      <w:r>
        <w:rPr>
          <w:rFonts w:ascii="Arial" w:hAnsi="Arial"/>
          <w:sz w:val="21"/>
        </w:rPr>
        <w:t>Hard costs 15% over budget raise the request to about $1.48M; that is what the 12.5% contingency and 6% escalation allowance exist to absorb first.</w:t>
      </w:r>
    </w:p>
    <w:p>
      <w:pPr>
        <w:pStyle w:val="ListBullet"/>
        <w:spacing w:after="60"/>
      </w:pPr>
      <w:r>
        <w:rPr>
          <w:rFonts w:ascii="Arial" w:hAnsi="Arial"/>
          <w:sz w:val="21"/>
        </w:rPr>
        <w:t>The furnished amenity fee option — $150 a month per apartment — lifts Year 1 NOI to $407,282 and the levered IRR to 16.3%, and is the most promising upside lever available without more public money.</w:t>
      </w:r>
    </w:p>
    <w:p>
      <w:r>
        <w:br w:type="page"/>
      </w:r>
    </w:p>
    <w:p>
      <w:pPr>
        <w:pStyle w:val="Heading1"/>
        <w:keepNext/>
        <w:spacing w:after="120" w:before="320"/>
      </w:pPr>
      <w:r>
        <w:rPr>
          <w:rFonts w:ascii="Arial" w:hAnsi="Arial"/>
          <w:b/>
          <w:i w:val="0"/>
          <w:color w:val="1F2A44"/>
          <w:sz w:val="30"/>
        </w:rPr>
        <w:t>10. Assumptions and basis</w:t>
      </w:r>
    </w:p>
    <w:p>
      <w:pPr>
        <w:spacing w:after="160" w:before="0"/>
      </w:pPr>
      <w:r>
        <w:rPr>
          <w:b w:val="0"/>
          <w:i w:val="0"/>
          <w:sz w:val="21"/>
        </w:rPr>
        <w:t>Every input in the model, with its basis. The same list is on the Assumptions tab of the Excel workbook, where each value is a named cell that drives the calculations. BDC specifically asked about rental rates, interest rates, capitalization rates and acquisition cost; those are marked ▸.</w:t>
      </w:r>
    </w:p>
    <w:tbl>
      <w:tblPr>
        <w:tblStyle w:val="TableGrid"/>
        <w:tblW w:type="auto" w:w="0"/>
        <w:jc w:val="center"/>
        <w:tblLook w:firstColumn="1" w:firstRow="1" w:lastColumn="0" w:lastRow="0" w:noHBand="0" w:noVBand="1" w:val="04A0"/>
      </w:tblPr>
      <w:tblGrid>
        <w:gridCol w:w="3216"/>
        <w:gridCol w:w="3216"/>
        <w:gridCol w:w="3216"/>
      </w:tblGrid>
      <w:tr>
        <w:tc>
          <w:tcPr>
            <w:tcW w:type="dxa" w:w="2808"/>
            <w:shd w:val="clear" w:fill="1F2A44"/>
          </w:tcPr>
          <w:p>
            <w:r/>
            <w:r>
              <w:rPr>
                <w:rFonts w:ascii="Arial" w:hAnsi="Arial"/>
                <w:b/>
                <w:color w:val="FFFFFF"/>
                <w:sz w:val="15"/>
              </w:rPr>
              <w:t>Assumption</w:t>
            </w:r>
          </w:p>
        </w:tc>
        <w:tc>
          <w:tcPr>
            <w:tcW w:type="dxa" w:w="1080"/>
            <w:shd w:val="clear" w:fill="1F2A44"/>
          </w:tcPr>
          <w:p>
            <w:pPr>
              <w:jc w:val="right"/>
            </w:pPr>
            <w:r/>
            <w:r>
              <w:rPr>
                <w:rFonts w:ascii="Arial" w:hAnsi="Arial"/>
                <w:b/>
                <w:color w:val="FFFFFF"/>
                <w:sz w:val="15"/>
              </w:rPr>
              <w:t>Value</w:t>
            </w:r>
          </w:p>
        </w:tc>
        <w:tc>
          <w:tcPr>
            <w:tcW w:type="dxa" w:w="5616"/>
            <w:shd w:val="clear" w:fill="1F2A44"/>
          </w:tcPr>
          <w:p>
            <w:r/>
            <w:r>
              <w:rPr>
                <w:rFonts w:ascii="Arial" w:hAnsi="Arial"/>
                <w:b/>
                <w:color w:val="FFFFFF"/>
                <w:sz w:val="15"/>
              </w:rPr>
              <w:t>Basis / source</w:t>
            </w:r>
          </w:p>
        </w:tc>
      </w:tr>
      <w:tr>
        <w:tc>
          <w:tcPr>
            <w:tcW w:type="dxa" w:w="2808"/>
          </w:tcPr>
          <w:p>
            <w:pPr>
              <w:spacing w:after="40" w:before="40"/>
            </w:pPr>
            <w:r/>
            <w:r>
              <w:rPr>
                <w:rFonts w:ascii="Arial" w:hAnsi="Arial"/>
                <w:b w:val="0"/>
                <w:sz w:val="15"/>
              </w:rPr>
              <w:t>▸ 1820 purchase price (offer)</w:t>
            </w:r>
          </w:p>
        </w:tc>
        <w:tc>
          <w:tcPr>
            <w:tcW w:type="dxa" w:w="1080"/>
          </w:tcPr>
          <w:p>
            <w:pPr>
              <w:spacing w:after="40" w:before="40"/>
              <w:jc w:val="right"/>
            </w:pPr>
            <w:r/>
            <w:r>
              <w:rPr>
                <w:rFonts w:ascii="Arial" w:hAnsi="Arial"/>
                <w:b w:val="0"/>
                <w:sz w:val="15"/>
              </w:rPr>
              <w:t>$3,000</w:t>
            </w:r>
          </w:p>
        </w:tc>
        <w:tc>
          <w:tcPr>
            <w:tcW w:type="dxa" w:w="5616"/>
          </w:tcPr>
          <w:p>
            <w:pPr>
              <w:spacing w:after="40" w:before="40"/>
            </w:pPr>
            <w:r/>
            <w:r>
              <w:rPr>
                <w:rFonts w:ascii="Arial" w:hAnsi="Arial"/>
                <w:b w:val="0"/>
                <w:sz w:val="15"/>
              </w:rPr>
              <w:t>Nominal offer for a vacant, City-owned shell that needs a full gut rehab. The as-is value is negative once cost-to-cure is counted (see Assumptions narrative). The public return is delivered through restoration, tax base, jobs, and MBE participation.</w:t>
            </w:r>
          </w:p>
        </w:tc>
      </w:tr>
      <w:tr>
        <w:tc>
          <w:tcPr>
            <w:tcW w:type="dxa" w:w="2808"/>
          </w:tcPr>
          <w:p>
            <w:pPr>
              <w:spacing w:after="40" w:before="40"/>
            </w:pPr>
            <w:r/>
            <w:r>
              <w:rPr>
                <w:rFonts w:ascii="Arial" w:hAnsi="Arial"/>
                <w:b w:val="0"/>
                <w:sz w:val="15"/>
              </w:rPr>
              <w:t>▸ 1818 acquisition cost</w:t>
            </w:r>
          </w:p>
        </w:tc>
        <w:tc>
          <w:tcPr>
            <w:tcW w:type="dxa" w:w="1080"/>
          </w:tcPr>
          <w:p>
            <w:pPr>
              <w:spacing w:after="40" w:before="40"/>
              <w:jc w:val="right"/>
            </w:pPr>
            <w:r/>
            <w:r>
              <w:rPr>
                <w:rFonts w:ascii="Arial" w:hAnsi="Arial"/>
                <w:b w:val="0"/>
                <w:sz w:val="15"/>
              </w:rPr>
              <w:t>$150,000</w:t>
            </w:r>
          </w:p>
        </w:tc>
        <w:tc>
          <w:tcPr>
            <w:tcW w:type="dxa" w:w="5616"/>
          </w:tcPr>
          <w:p>
            <w:pPr>
              <w:spacing w:after="40" w:before="40"/>
            </w:pPr>
            <w:r/>
            <w:r>
              <w:rPr>
                <w:rFonts w:ascii="Arial" w:hAnsi="Arial"/>
                <w:b w:val="0"/>
                <w:sz w:val="15"/>
              </w:rPr>
              <w:t>Price at the Mar 6, 2026 substitute trustee's sale (Case C-24-CV-25-008522). Already funded by LLAYD. Counted as land equity.</w:t>
            </w:r>
          </w:p>
        </w:tc>
      </w:tr>
      <w:tr>
        <w:tc>
          <w:tcPr>
            <w:tcW w:type="dxa" w:w="2808"/>
          </w:tcPr>
          <w:p>
            <w:pPr>
              <w:spacing w:after="40" w:before="40"/>
            </w:pPr>
            <w:r/>
            <w:r>
              <w:rPr>
                <w:rFonts w:ascii="Arial" w:hAnsi="Arial"/>
                <w:b w:val="0"/>
                <w:sz w:val="15"/>
              </w:rPr>
              <w:t>Closing, title, transfer &amp; recordation (% of price, min $7.5k)</w:t>
            </w:r>
          </w:p>
        </w:tc>
        <w:tc>
          <w:tcPr>
            <w:tcW w:type="dxa" w:w="1080"/>
          </w:tcPr>
          <w:p>
            <w:pPr>
              <w:spacing w:after="40" w:before="40"/>
              <w:jc w:val="right"/>
            </w:pPr>
            <w:r/>
            <w:r>
              <w:rPr>
                <w:rFonts w:ascii="Arial" w:hAnsi="Arial"/>
                <w:b w:val="0"/>
                <w:sz w:val="15"/>
              </w:rPr>
              <w:t>4%</w:t>
            </w:r>
          </w:p>
        </w:tc>
        <w:tc>
          <w:tcPr>
            <w:tcW w:type="dxa" w:w="5616"/>
          </w:tcPr>
          <w:p>
            <w:pPr>
              <w:spacing w:after="40" w:before="40"/>
            </w:pPr>
            <w:r/>
            <w:r>
              <w:rPr>
                <w:rFonts w:ascii="Arial" w:hAnsi="Arial"/>
                <w:b w:val="0"/>
                <w:sz w:val="15"/>
              </w:rPr>
              <w:t>1816 HUD-1 closing costs were $36k on $300k (12%) because back taxes were cleared at settlement. A standard rate is used for new acquisitions, with a floor.</w:t>
            </w:r>
          </w:p>
        </w:tc>
      </w:tr>
      <w:tr>
        <w:tc>
          <w:tcPr>
            <w:tcW w:type="dxa" w:w="2808"/>
          </w:tcPr>
          <w:p>
            <w:pPr>
              <w:spacing w:after="40" w:before="40"/>
            </w:pPr>
            <w:r/>
            <w:r>
              <w:rPr>
                <w:rFonts w:ascii="Arial" w:hAnsi="Arial"/>
                <w:b w:val="0"/>
                <w:sz w:val="15"/>
              </w:rPr>
              <w:t>Minimum closing cost per acquisition</w:t>
            </w:r>
          </w:p>
        </w:tc>
        <w:tc>
          <w:tcPr>
            <w:tcW w:type="dxa" w:w="1080"/>
          </w:tcPr>
          <w:p>
            <w:pPr>
              <w:spacing w:after="40" w:before="40"/>
              <w:jc w:val="right"/>
            </w:pPr>
            <w:r/>
            <w:r>
              <w:rPr>
                <w:rFonts w:ascii="Arial" w:hAnsi="Arial"/>
                <w:b w:val="0"/>
                <w:sz w:val="15"/>
              </w:rPr>
              <w:t>$7,500</w:t>
            </w:r>
          </w:p>
        </w:tc>
        <w:tc>
          <w:tcPr>
            <w:tcW w:type="dxa" w:w="5616"/>
          </w:tcPr>
          <w:p>
            <w:pPr>
              <w:spacing w:after="40" w:before="40"/>
            </w:pPr>
            <w:r/>
            <w:r>
              <w:rPr>
                <w:rFonts w:ascii="Arial" w:hAnsi="Arial"/>
                <w:b w:val="0"/>
                <w:sz w:val="15"/>
              </w:rPr>
              <w:t>Title, survey, recordation, legal.</w:t>
            </w:r>
          </w:p>
        </w:tc>
      </w:tr>
      <w:tr>
        <w:tc>
          <w:tcPr>
            <w:tcW w:type="dxa" w:w="2808"/>
          </w:tcPr>
          <w:p>
            <w:pPr>
              <w:spacing w:after="40" w:before="40"/>
            </w:pPr>
            <w:r/>
            <w:r>
              <w:rPr>
                <w:rFonts w:ascii="Arial" w:hAnsi="Arial"/>
                <w:b w:val="0"/>
                <w:sz w:val="15"/>
              </w:rPr>
              <w:t>▸ Annual rent growth</w:t>
            </w:r>
          </w:p>
        </w:tc>
        <w:tc>
          <w:tcPr>
            <w:tcW w:type="dxa" w:w="1080"/>
          </w:tcPr>
          <w:p>
            <w:pPr>
              <w:spacing w:after="40" w:before="40"/>
              <w:jc w:val="right"/>
            </w:pPr>
            <w:r/>
            <w:r>
              <w:rPr>
                <w:rFonts w:ascii="Arial" w:hAnsi="Arial"/>
                <w:b w:val="0"/>
                <w:sz w:val="15"/>
              </w:rPr>
              <w:t>2%</w:t>
            </w:r>
          </w:p>
        </w:tc>
        <w:tc>
          <w:tcPr>
            <w:tcW w:type="dxa" w:w="5616"/>
          </w:tcPr>
          <w:p>
            <w:pPr>
              <w:spacing w:after="40" w:before="40"/>
            </w:pPr>
            <w:r/>
            <w:r>
              <w:rPr>
                <w:rFonts w:ascii="Arial" w:hAnsi="Arial"/>
                <w:b w:val="0"/>
                <w:sz w:val="15"/>
              </w:rPr>
              <w:t>2.0%, the MD DHCD underwriting cap. Yardi forecasts 1.9% for Baltimore in 2026, and Harbor Stone reported +1.3% YoY (research/02).</w:t>
            </w:r>
          </w:p>
        </w:tc>
      </w:tr>
      <w:tr>
        <w:tc>
          <w:tcPr>
            <w:tcW w:type="dxa" w:w="2808"/>
          </w:tcPr>
          <w:p>
            <w:pPr>
              <w:spacing w:after="40" w:before="40"/>
            </w:pPr>
            <w:r/>
            <w:r>
              <w:rPr>
                <w:rFonts w:ascii="Arial" w:hAnsi="Arial"/>
                <w:b w:val="0"/>
                <w:sz w:val="15"/>
              </w:rPr>
              <w:t>Annual expense growth</w:t>
            </w:r>
          </w:p>
        </w:tc>
        <w:tc>
          <w:tcPr>
            <w:tcW w:type="dxa" w:w="1080"/>
          </w:tcPr>
          <w:p>
            <w:pPr>
              <w:spacing w:after="40" w:before="40"/>
              <w:jc w:val="right"/>
            </w:pPr>
            <w:r/>
            <w:r>
              <w:rPr>
                <w:rFonts w:ascii="Arial" w:hAnsi="Arial"/>
                <w:b w:val="0"/>
                <w:sz w:val="15"/>
              </w:rPr>
              <w:t>3%</w:t>
            </w:r>
          </w:p>
        </w:tc>
        <w:tc>
          <w:tcPr>
            <w:tcW w:type="dxa" w:w="5616"/>
          </w:tcPr>
          <w:p>
            <w:pPr>
              <w:spacing w:after="40" w:before="40"/>
            </w:pPr>
            <w:r/>
            <w:r>
              <w:rPr>
                <w:rFonts w:ascii="Arial" w:hAnsi="Arial"/>
                <w:b w:val="0"/>
                <w:sz w:val="15"/>
              </w:rPr>
              <w:t>Matches BDC Exhibit E (3%).</w:t>
            </w:r>
          </w:p>
        </w:tc>
      </w:tr>
      <w:tr>
        <w:tc>
          <w:tcPr>
            <w:tcW w:type="dxa" w:w="2808"/>
          </w:tcPr>
          <w:p>
            <w:pPr>
              <w:spacing w:after="40" w:before="40"/>
            </w:pPr>
            <w:r/>
            <w:r>
              <w:rPr>
                <w:rFonts w:ascii="Arial" w:hAnsi="Arial"/>
                <w:b w:val="0"/>
                <w:sz w:val="15"/>
              </w:rPr>
              <w:t>Residential vacancy</w:t>
            </w:r>
          </w:p>
        </w:tc>
        <w:tc>
          <w:tcPr>
            <w:tcW w:type="dxa" w:w="1080"/>
          </w:tcPr>
          <w:p>
            <w:pPr>
              <w:spacing w:after="40" w:before="40"/>
              <w:jc w:val="right"/>
            </w:pPr>
            <w:r/>
            <w:r>
              <w:rPr>
                <w:rFonts w:ascii="Arial" w:hAnsi="Arial"/>
                <w:b w:val="0"/>
                <w:sz w:val="15"/>
              </w:rPr>
              <w:t>7%</w:t>
            </w:r>
          </w:p>
        </w:tc>
        <w:tc>
          <w:tcPr>
            <w:tcW w:type="dxa" w:w="5616"/>
          </w:tcPr>
          <w:p>
            <w:pPr>
              <w:spacing w:after="40" w:before="40"/>
            </w:pPr>
            <w:r/>
            <w:r>
              <w:rPr>
                <w:rFonts w:ascii="Arial" w:hAnsi="Arial"/>
                <w:b w:val="0"/>
                <w:sz w:val="15"/>
              </w:rPr>
              <w:t>Bowery 2023 used 7%. Baltimore City stabilized vacancy is 8.2%, and Station North's 11.6% (HSA Q2-25) includes lease-up buildings. A small boutique building with new finishes is underwritten at 7%.</w:t>
            </w:r>
          </w:p>
        </w:tc>
      </w:tr>
      <w:tr>
        <w:tc>
          <w:tcPr>
            <w:tcW w:type="dxa" w:w="2808"/>
          </w:tcPr>
          <w:p>
            <w:pPr>
              <w:spacing w:after="40" w:before="40"/>
            </w:pPr>
            <w:r/>
            <w:r>
              <w:rPr>
                <w:rFonts w:ascii="Arial" w:hAnsi="Arial"/>
                <w:b w:val="0"/>
                <w:sz w:val="15"/>
              </w:rPr>
              <w:t>Residential credit/collection loss</w:t>
            </w:r>
          </w:p>
        </w:tc>
        <w:tc>
          <w:tcPr>
            <w:tcW w:type="dxa" w:w="1080"/>
          </w:tcPr>
          <w:p>
            <w:pPr>
              <w:spacing w:after="40" w:before="40"/>
              <w:jc w:val="right"/>
            </w:pPr>
            <w:r/>
            <w:r>
              <w:rPr>
                <w:rFonts w:ascii="Arial" w:hAnsi="Arial"/>
                <w:b w:val="0"/>
                <w:sz w:val="15"/>
              </w:rPr>
              <w:t>1%</w:t>
            </w:r>
          </w:p>
        </w:tc>
        <w:tc>
          <w:tcPr>
            <w:tcW w:type="dxa" w:w="5616"/>
          </w:tcPr>
          <w:p>
            <w:pPr>
              <w:spacing w:after="40" w:before="40"/>
            </w:pPr>
            <w:r/>
            <w:r>
              <w:rPr>
                <w:rFonts w:ascii="Arial" w:hAnsi="Arial"/>
                <w:b w:val="0"/>
                <w:sz w:val="15"/>
              </w:rPr>
              <w:t>1% (Bowery 2023).</w:t>
            </w:r>
          </w:p>
        </w:tc>
      </w:tr>
      <w:tr>
        <w:tc>
          <w:tcPr>
            <w:tcW w:type="dxa" w:w="2808"/>
          </w:tcPr>
          <w:p>
            <w:pPr>
              <w:spacing w:after="40" w:before="40"/>
            </w:pPr>
            <w:r/>
            <w:r>
              <w:rPr>
                <w:rFonts w:ascii="Arial" w:hAnsi="Arial"/>
                <w:b w:val="0"/>
                <w:sz w:val="15"/>
              </w:rPr>
              <w:t>Commercial vacancy</w:t>
            </w:r>
          </w:p>
        </w:tc>
        <w:tc>
          <w:tcPr>
            <w:tcW w:type="dxa" w:w="1080"/>
          </w:tcPr>
          <w:p>
            <w:pPr>
              <w:spacing w:after="40" w:before="40"/>
              <w:jc w:val="right"/>
            </w:pPr>
            <w:r/>
            <w:r>
              <w:rPr>
                <w:rFonts w:ascii="Arial" w:hAnsi="Arial"/>
                <w:b w:val="0"/>
                <w:sz w:val="15"/>
              </w:rPr>
              <w:t>8%</w:t>
            </w:r>
          </w:p>
        </w:tc>
        <w:tc>
          <w:tcPr>
            <w:tcW w:type="dxa" w:w="5616"/>
          </w:tcPr>
          <w:p>
            <w:pPr>
              <w:spacing w:after="40" w:before="40"/>
            </w:pPr>
            <w:r/>
            <w:r>
              <w:rPr>
                <w:rFonts w:ascii="Arial" w:hAnsi="Arial"/>
                <w:b w:val="0"/>
                <w:sz w:val="15"/>
              </w:rPr>
              <w:t>Baltimore retail vacancy is 6.36% (TenantBase Q2-26); Bowery used 3%. A conservative 8% + 2% = 10% covers small-bay retail on a block that still has vacancy.</w:t>
            </w:r>
          </w:p>
        </w:tc>
      </w:tr>
      <w:tr>
        <w:tc>
          <w:tcPr>
            <w:tcW w:type="dxa" w:w="2808"/>
          </w:tcPr>
          <w:p>
            <w:pPr>
              <w:spacing w:after="40" w:before="40"/>
            </w:pPr>
            <w:r/>
            <w:r>
              <w:rPr>
                <w:rFonts w:ascii="Arial" w:hAnsi="Arial"/>
                <w:b w:val="0"/>
                <w:sz w:val="15"/>
              </w:rPr>
              <w:t>Commercial credit/collection loss</w:t>
            </w:r>
          </w:p>
        </w:tc>
        <w:tc>
          <w:tcPr>
            <w:tcW w:type="dxa" w:w="1080"/>
          </w:tcPr>
          <w:p>
            <w:pPr>
              <w:spacing w:after="40" w:before="40"/>
              <w:jc w:val="right"/>
            </w:pPr>
            <w:r/>
            <w:r>
              <w:rPr>
                <w:rFonts w:ascii="Arial" w:hAnsi="Arial"/>
                <w:b w:val="0"/>
                <w:sz w:val="15"/>
              </w:rPr>
              <w:t>2%</w:t>
            </w:r>
          </w:p>
        </w:tc>
        <w:tc>
          <w:tcPr>
            <w:tcW w:type="dxa" w:w="5616"/>
          </w:tcPr>
          <w:p>
            <w:pPr>
              <w:spacing w:after="40" w:before="40"/>
            </w:pPr>
            <w:r/>
            <w:r>
              <w:rPr>
                <w:rFonts w:ascii="Arial" w:hAnsi="Arial"/>
                <w:b w:val="0"/>
                <w:sz w:val="15"/>
              </w:rPr>
              <w:t>See above.</w:t>
            </w:r>
          </w:p>
        </w:tc>
      </w:tr>
      <w:tr>
        <w:tc>
          <w:tcPr>
            <w:tcW w:type="dxa" w:w="2808"/>
          </w:tcPr>
          <w:p>
            <w:pPr>
              <w:spacing w:after="40" w:before="40"/>
            </w:pPr>
            <w:r/>
            <w:r>
              <w:rPr>
                <w:rFonts w:ascii="Arial" w:hAnsi="Arial"/>
                <w:b w:val="0"/>
                <w:sz w:val="15"/>
              </w:rPr>
              <w:t>Other income per unit per month (laundry-in-unit fees, storage, pet, late fees)</w:t>
            </w:r>
          </w:p>
        </w:tc>
        <w:tc>
          <w:tcPr>
            <w:tcW w:type="dxa" w:w="1080"/>
          </w:tcPr>
          <w:p>
            <w:pPr>
              <w:spacing w:after="40" w:before="40"/>
              <w:jc w:val="right"/>
            </w:pPr>
            <w:r/>
            <w:r>
              <w:rPr>
                <w:rFonts w:ascii="Arial" w:hAnsi="Arial"/>
                <w:b w:val="0"/>
                <w:sz w:val="15"/>
              </w:rPr>
              <w:t>$35</w:t>
            </w:r>
          </w:p>
        </w:tc>
        <w:tc>
          <w:tcPr>
            <w:tcW w:type="dxa" w:w="5616"/>
          </w:tcPr>
          <w:p>
            <w:pPr>
              <w:spacing w:after="40" w:before="40"/>
            </w:pPr>
            <w:r/>
            <w:r>
              <w:rPr>
                <w:rFonts w:ascii="Arial" w:hAnsi="Arial"/>
                <w:b w:val="0"/>
                <w:sz w:val="15"/>
              </w:rPr>
              <w:t>Conservative for small walk-ups.</w:t>
            </w:r>
          </w:p>
        </w:tc>
      </w:tr>
      <w:tr>
        <w:tc>
          <w:tcPr>
            <w:tcW w:type="dxa" w:w="2808"/>
          </w:tcPr>
          <w:p>
            <w:pPr>
              <w:spacing w:after="40" w:before="40"/>
            </w:pPr>
            <w:r/>
            <w:r>
              <w:rPr>
                <w:rFonts w:ascii="Arial" w:hAnsi="Arial"/>
                <w:b w:val="0"/>
                <w:sz w:val="15"/>
              </w:rPr>
              <w:t>Property management (% of EGI)</w:t>
            </w:r>
          </w:p>
        </w:tc>
        <w:tc>
          <w:tcPr>
            <w:tcW w:type="dxa" w:w="1080"/>
          </w:tcPr>
          <w:p>
            <w:pPr>
              <w:spacing w:after="40" w:before="40"/>
              <w:jc w:val="right"/>
            </w:pPr>
            <w:r/>
            <w:r>
              <w:rPr>
                <w:rFonts w:ascii="Arial" w:hAnsi="Arial"/>
                <w:b w:val="0"/>
                <w:sz w:val="15"/>
              </w:rPr>
              <w:t>5%</w:t>
            </w:r>
          </w:p>
        </w:tc>
        <w:tc>
          <w:tcPr>
            <w:tcW w:type="dxa" w:w="5616"/>
          </w:tcPr>
          <w:p>
            <w:pPr>
              <w:spacing w:after="40" w:before="40"/>
            </w:pPr>
            <w:r/>
            <w:r>
              <w:rPr>
                <w:rFonts w:ascii="Arial" w:hAnsi="Arial"/>
                <w:b w:val="0"/>
                <w:sz w:val="15"/>
              </w:rPr>
              <w:t>5% (Bowery 2023 range 2–6%). ERJ Development LLC manages the property.</w:t>
            </w:r>
          </w:p>
        </w:tc>
      </w:tr>
      <w:tr>
        <w:tc>
          <w:tcPr>
            <w:tcW w:type="dxa" w:w="2808"/>
          </w:tcPr>
          <w:p>
            <w:pPr>
              <w:spacing w:after="40" w:before="40"/>
            </w:pPr>
            <w:r/>
            <w:r>
              <w:rPr>
                <w:rFonts w:ascii="Arial" w:hAnsi="Arial"/>
                <w:b w:val="0"/>
                <w:sz w:val="15"/>
              </w:rPr>
              <w:t>Insurance per residential unit / yr</w:t>
            </w:r>
          </w:p>
        </w:tc>
        <w:tc>
          <w:tcPr>
            <w:tcW w:type="dxa" w:w="1080"/>
          </w:tcPr>
          <w:p>
            <w:pPr>
              <w:spacing w:after="40" w:before="40"/>
              <w:jc w:val="right"/>
            </w:pPr>
            <w:r/>
            <w:r>
              <w:rPr>
                <w:rFonts w:ascii="Arial" w:hAnsi="Arial"/>
                <w:b w:val="0"/>
                <w:sz w:val="15"/>
              </w:rPr>
              <w:t>$900</w:t>
            </w:r>
          </w:p>
        </w:tc>
        <w:tc>
          <w:tcPr>
            <w:tcW w:type="dxa" w:w="5616"/>
          </w:tcPr>
          <w:p>
            <w:pPr>
              <w:spacing w:after="40" w:before="40"/>
            </w:pPr>
            <w:r/>
            <w:r>
              <w:rPr>
                <w:rFonts w:ascii="Arial" w:hAnsi="Arial"/>
                <w:b w:val="0"/>
                <w:sz w:val="15"/>
              </w:rPr>
              <w:t>Historic masonry, sprinklered, mixed-use. The Jan-2026 submission carried $5,600 for 7 units (~$800).</w:t>
            </w:r>
          </w:p>
        </w:tc>
      </w:tr>
      <w:tr>
        <w:tc>
          <w:tcPr>
            <w:tcW w:type="dxa" w:w="2808"/>
          </w:tcPr>
          <w:p>
            <w:pPr>
              <w:spacing w:after="40" w:before="40"/>
            </w:pPr>
            <w:r/>
            <w:r>
              <w:rPr>
                <w:rFonts w:ascii="Arial" w:hAnsi="Arial"/>
                <w:b w:val="0"/>
                <w:sz w:val="15"/>
              </w:rPr>
              <w:t>Insurance per commercial unit / yr</w:t>
            </w:r>
          </w:p>
        </w:tc>
        <w:tc>
          <w:tcPr>
            <w:tcW w:type="dxa" w:w="1080"/>
          </w:tcPr>
          <w:p>
            <w:pPr>
              <w:spacing w:after="40" w:before="40"/>
              <w:jc w:val="right"/>
            </w:pPr>
            <w:r/>
            <w:r>
              <w:rPr>
                <w:rFonts w:ascii="Arial" w:hAnsi="Arial"/>
                <w:b w:val="0"/>
                <w:sz w:val="15"/>
              </w:rPr>
              <w:t>$1,200</w:t>
            </w:r>
          </w:p>
        </w:tc>
        <w:tc>
          <w:tcPr>
            <w:tcW w:type="dxa" w:w="5616"/>
          </w:tcPr>
          <w:p>
            <w:pPr>
              <w:spacing w:after="40" w:before="40"/>
            </w:pPr>
            <w:r/>
            <w:r>
              <w:rPr>
                <w:rFonts w:ascii="Arial" w:hAnsi="Arial"/>
                <w:b w:val="0"/>
                <w:sz w:val="15"/>
              </w:rPr>
              <w:t>Landlord's share of the commercial policy.</w:t>
            </w:r>
          </w:p>
        </w:tc>
      </w:tr>
      <w:tr>
        <w:tc>
          <w:tcPr>
            <w:tcW w:type="dxa" w:w="2808"/>
          </w:tcPr>
          <w:p>
            <w:pPr>
              <w:spacing w:after="40" w:before="40"/>
            </w:pPr>
            <w:r/>
            <w:r>
              <w:rPr>
                <w:rFonts w:ascii="Arial" w:hAnsi="Arial"/>
                <w:b w:val="0"/>
                <w:sz w:val="15"/>
              </w:rPr>
              <w:t>Repairs &amp; maintenance per unit / yr (all units)</w:t>
            </w:r>
          </w:p>
        </w:tc>
        <w:tc>
          <w:tcPr>
            <w:tcW w:type="dxa" w:w="1080"/>
          </w:tcPr>
          <w:p>
            <w:pPr>
              <w:spacing w:after="40" w:before="40"/>
              <w:jc w:val="right"/>
            </w:pPr>
            <w:r/>
            <w:r>
              <w:rPr>
                <w:rFonts w:ascii="Arial" w:hAnsi="Arial"/>
                <w:b w:val="0"/>
                <w:sz w:val="15"/>
              </w:rPr>
              <w:t>$650</w:t>
            </w:r>
          </w:p>
        </w:tc>
        <w:tc>
          <w:tcPr>
            <w:tcW w:type="dxa" w:w="5616"/>
          </w:tcPr>
          <w:p>
            <w:pPr>
              <w:spacing w:after="40" w:before="40"/>
            </w:pPr>
            <w:r/>
            <w:r>
              <w:rPr>
                <w:rFonts w:ascii="Arial" w:hAnsi="Arial"/>
                <w:b w:val="0"/>
                <w:sz w:val="15"/>
              </w:rPr>
              <w:t>New systems keep early-year maintenance low.</w:t>
            </w:r>
          </w:p>
        </w:tc>
      </w:tr>
      <w:tr>
        <w:tc>
          <w:tcPr>
            <w:tcW w:type="dxa" w:w="2808"/>
          </w:tcPr>
          <w:p>
            <w:pPr>
              <w:spacing w:after="40" w:before="40"/>
            </w:pPr>
            <w:r/>
            <w:r>
              <w:rPr>
                <w:rFonts w:ascii="Arial" w:hAnsi="Arial"/>
                <w:b w:val="0"/>
                <w:sz w:val="15"/>
              </w:rPr>
              <w:t>Turnover / make-ready per residential unit / yr (furnished)</w:t>
            </w:r>
          </w:p>
        </w:tc>
        <w:tc>
          <w:tcPr>
            <w:tcW w:type="dxa" w:w="1080"/>
          </w:tcPr>
          <w:p>
            <w:pPr>
              <w:spacing w:after="40" w:before="40"/>
              <w:jc w:val="right"/>
            </w:pPr>
            <w:r/>
            <w:r>
              <w:rPr>
                <w:rFonts w:ascii="Arial" w:hAnsi="Arial"/>
                <w:b w:val="0"/>
                <w:sz w:val="15"/>
              </w:rPr>
              <w:t>$450</w:t>
            </w:r>
          </w:p>
        </w:tc>
        <w:tc>
          <w:tcPr>
            <w:tcW w:type="dxa" w:w="5616"/>
          </w:tcPr>
          <w:p>
            <w:pPr>
              <w:spacing w:after="40" w:before="40"/>
            </w:pPr>
            <w:r/>
            <w:r>
              <w:rPr>
                <w:rFonts w:ascii="Arial" w:hAnsi="Arial"/>
                <w:b w:val="0"/>
                <w:sz w:val="15"/>
              </w:rPr>
              <w:t>Higher for furnished units: professional cleaning, linens, and furniture touch-up between leases.</w:t>
            </w:r>
          </w:p>
        </w:tc>
      </w:tr>
      <w:tr>
        <w:tc>
          <w:tcPr>
            <w:tcW w:type="dxa" w:w="2808"/>
          </w:tcPr>
          <w:p>
            <w:pPr>
              <w:spacing w:after="40" w:before="40"/>
            </w:pPr>
            <w:r/>
            <w:r>
              <w:rPr>
                <w:rFonts w:ascii="Arial" w:hAnsi="Arial"/>
                <w:b w:val="0"/>
                <w:sz w:val="15"/>
              </w:rPr>
              <w:t>Furniture (FF&amp;E) replacement reserve per residential unit / yr</w:t>
            </w:r>
          </w:p>
        </w:tc>
        <w:tc>
          <w:tcPr>
            <w:tcW w:type="dxa" w:w="1080"/>
          </w:tcPr>
          <w:p>
            <w:pPr>
              <w:spacing w:after="40" w:before="40"/>
              <w:jc w:val="right"/>
            </w:pPr>
            <w:r/>
            <w:r>
              <w:rPr>
                <w:rFonts w:ascii="Arial" w:hAnsi="Arial"/>
                <w:b w:val="0"/>
                <w:sz w:val="15"/>
              </w:rPr>
              <w:t>$750</w:t>
            </w:r>
          </w:p>
        </w:tc>
        <w:tc>
          <w:tcPr>
            <w:tcW w:type="dxa" w:w="5616"/>
          </w:tcPr>
          <w:p>
            <w:pPr>
              <w:spacing w:after="40" w:before="40"/>
            </w:pPr>
            <w:r/>
            <w:r>
              <w:rPr>
                <w:rFonts w:ascii="Arial" w:hAnsi="Arial"/>
                <w:b w:val="0"/>
                <w:sz w:val="15"/>
              </w:rPr>
              <w:t>Replaces the ≈$12.5k furniture package over about 15 years, with hospitality-grade pieces refreshed as they wear.</w:t>
            </w:r>
          </w:p>
        </w:tc>
      </w:tr>
      <w:tr>
        <w:tc>
          <w:tcPr>
            <w:tcW w:type="dxa" w:w="2808"/>
          </w:tcPr>
          <w:p>
            <w:pPr>
              <w:spacing w:after="40" w:before="40"/>
            </w:pPr>
            <w:r/>
            <w:r>
              <w:rPr>
                <w:rFonts w:ascii="Arial" w:hAnsi="Arial"/>
                <w:b w:val="0"/>
                <w:sz w:val="15"/>
              </w:rPr>
              <w:t>Resident technology &amp; Wi-Fi services per unit / yr</w:t>
            </w:r>
          </w:p>
        </w:tc>
        <w:tc>
          <w:tcPr>
            <w:tcW w:type="dxa" w:w="1080"/>
          </w:tcPr>
          <w:p>
            <w:pPr>
              <w:spacing w:after="40" w:before="40"/>
              <w:jc w:val="right"/>
            </w:pPr>
            <w:r/>
            <w:r>
              <w:rPr>
                <w:rFonts w:ascii="Arial" w:hAnsi="Arial"/>
                <w:b w:val="0"/>
                <w:sz w:val="15"/>
              </w:rPr>
              <w:t>$900</w:t>
            </w:r>
          </w:p>
        </w:tc>
        <w:tc>
          <w:tcPr>
            <w:tcW w:type="dxa" w:w="5616"/>
          </w:tcPr>
          <w:p>
            <w:pPr>
              <w:spacing w:after="40" w:before="40"/>
            </w:pPr>
            <w:r/>
            <w:r>
              <w:rPr>
                <w:rFonts w:ascii="Arial" w:hAnsi="Arial"/>
                <w:b w:val="0"/>
                <w:sz w:val="15"/>
              </w:rPr>
              <w:t>Building-wide high-speed Wi-Fi, smart-lock/thermostat platform, and video-intercom subscriptions included with furnished leases.</w:t>
            </w:r>
          </w:p>
        </w:tc>
      </w:tr>
      <w:tr>
        <w:tc>
          <w:tcPr>
            <w:tcW w:type="dxa" w:w="2808"/>
          </w:tcPr>
          <w:p>
            <w:pPr>
              <w:spacing w:after="40" w:before="40"/>
            </w:pPr>
            <w:r/>
            <w:r>
              <w:rPr>
                <w:rFonts w:ascii="Arial" w:hAnsi="Arial"/>
                <w:b w:val="0"/>
                <w:sz w:val="15"/>
              </w:rPr>
              <w:t>Common utilities per building / yr (house electric, common water/sewer)</w:t>
            </w:r>
          </w:p>
        </w:tc>
        <w:tc>
          <w:tcPr>
            <w:tcW w:type="dxa" w:w="1080"/>
          </w:tcPr>
          <w:p>
            <w:pPr>
              <w:spacing w:after="40" w:before="40"/>
              <w:jc w:val="right"/>
            </w:pPr>
            <w:r/>
            <w:r>
              <w:rPr>
                <w:rFonts w:ascii="Arial" w:hAnsi="Arial"/>
                <w:b w:val="0"/>
                <w:sz w:val="15"/>
              </w:rPr>
              <w:t>$4,200</w:t>
            </w:r>
          </w:p>
        </w:tc>
        <w:tc>
          <w:tcPr>
            <w:tcW w:type="dxa" w:w="5616"/>
          </w:tcPr>
          <w:p>
            <w:pPr>
              <w:spacing w:after="40" w:before="40"/>
            </w:pPr>
            <w:r/>
            <w:r>
              <w:rPr>
                <w:rFonts w:ascii="Arial" w:hAnsi="Arial"/>
                <w:b w:val="0"/>
                <w:sz w:val="15"/>
              </w:rPr>
              <w:t>Units are separately metered for electric; tenants pay their own. The Jan-2026 submission carried $2,400.</w:t>
            </w:r>
          </w:p>
        </w:tc>
      </w:tr>
      <w:tr>
        <w:tc>
          <w:tcPr>
            <w:tcW w:type="dxa" w:w="2808"/>
          </w:tcPr>
          <w:p>
            <w:pPr>
              <w:spacing w:after="40" w:before="40"/>
            </w:pPr>
            <w:r/>
            <w:r>
              <w:rPr>
                <w:rFonts w:ascii="Arial" w:hAnsi="Arial"/>
                <w:b w:val="0"/>
                <w:sz w:val="15"/>
              </w:rPr>
              <w:t>Water &amp; sewer per residential unit / yr (owner-paid)</w:t>
            </w:r>
          </w:p>
        </w:tc>
        <w:tc>
          <w:tcPr>
            <w:tcW w:type="dxa" w:w="1080"/>
          </w:tcPr>
          <w:p>
            <w:pPr>
              <w:spacing w:after="40" w:before="40"/>
              <w:jc w:val="right"/>
            </w:pPr>
            <w:r/>
            <w:r>
              <w:rPr>
                <w:rFonts w:ascii="Arial" w:hAnsi="Arial"/>
                <w:b w:val="0"/>
                <w:sz w:val="15"/>
              </w:rPr>
              <w:t>$540</w:t>
            </w:r>
          </w:p>
        </w:tc>
        <w:tc>
          <w:tcPr>
            <w:tcW w:type="dxa" w:w="5616"/>
          </w:tcPr>
          <w:p>
            <w:pPr>
              <w:spacing w:after="40" w:before="40"/>
            </w:pPr>
            <w:r/>
            <w:r>
              <w:rPr>
                <w:rFonts w:ascii="Arial" w:hAnsi="Arial"/>
                <w:b w:val="0"/>
                <w:sz w:val="15"/>
              </w:rPr>
              <w:t>Baltimore City DPW combined water/sewer rates.</w:t>
            </w:r>
          </w:p>
        </w:tc>
      </w:tr>
      <w:tr>
        <w:tc>
          <w:tcPr>
            <w:tcW w:type="dxa" w:w="2808"/>
          </w:tcPr>
          <w:p>
            <w:pPr>
              <w:spacing w:after="40" w:before="40"/>
            </w:pPr>
            <w:r/>
            <w:r>
              <w:rPr>
                <w:rFonts w:ascii="Arial" w:hAnsi="Arial"/>
                <w:b w:val="0"/>
                <w:sz w:val="15"/>
              </w:rPr>
              <w:t>Trash, recycling &amp; pest per building / yr</w:t>
            </w:r>
          </w:p>
        </w:tc>
        <w:tc>
          <w:tcPr>
            <w:tcW w:type="dxa" w:w="1080"/>
          </w:tcPr>
          <w:p>
            <w:pPr>
              <w:spacing w:after="40" w:before="40"/>
              <w:jc w:val="right"/>
            </w:pPr>
            <w:r/>
            <w:r>
              <w:rPr>
                <w:rFonts w:ascii="Arial" w:hAnsi="Arial"/>
                <w:b w:val="0"/>
                <w:sz w:val="15"/>
              </w:rPr>
              <w:t>$2,400</w:t>
            </w:r>
          </w:p>
        </w:tc>
        <w:tc>
          <w:tcPr>
            <w:tcW w:type="dxa" w:w="5616"/>
          </w:tcPr>
          <w:p>
            <w:pPr>
              <w:spacing w:after="40" w:before="40"/>
            </w:pPr>
            <w:r/>
            <w:r>
              <w:rPr>
                <w:rFonts w:ascii="Arial" w:hAnsi="Arial"/>
                <w:b w:val="0"/>
                <w:sz w:val="15"/>
              </w:rPr>
              <w:t>Private hauler for mixed-use.</w:t>
            </w:r>
          </w:p>
        </w:tc>
      </w:tr>
      <w:tr>
        <w:tc>
          <w:tcPr>
            <w:tcW w:type="dxa" w:w="2808"/>
          </w:tcPr>
          <w:p>
            <w:pPr>
              <w:spacing w:after="40" w:before="40"/>
            </w:pPr>
            <w:r/>
            <w:r>
              <w:rPr>
                <w:rFonts w:ascii="Arial" w:hAnsi="Arial"/>
                <w:b w:val="0"/>
                <w:sz w:val="15"/>
              </w:rPr>
              <w:t>Fire alarm / sprinkler monitoring &amp; inspections per building / yr</w:t>
            </w:r>
          </w:p>
        </w:tc>
        <w:tc>
          <w:tcPr>
            <w:tcW w:type="dxa" w:w="1080"/>
          </w:tcPr>
          <w:p>
            <w:pPr>
              <w:spacing w:after="40" w:before="40"/>
              <w:jc w:val="right"/>
            </w:pPr>
            <w:r/>
            <w:r>
              <w:rPr>
                <w:rFonts w:ascii="Arial" w:hAnsi="Arial"/>
                <w:b w:val="0"/>
                <w:sz w:val="15"/>
              </w:rPr>
              <w:t>$2,600</w:t>
            </w:r>
          </w:p>
        </w:tc>
        <w:tc>
          <w:tcPr>
            <w:tcW w:type="dxa" w:w="5616"/>
          </w:tcPr>
          <w:p>
            <w:pPr>
              <w:spacing w:after="40" w:before="40"/>
            </w:pPr>
            <w:r/>
            <w:r>
              <w:rPr>
                <w:rFonts w:ascii="Arial" w:hAnsi="Arial"/>
                <w:b w:val="0"/>
                <w:sz w:val="15"/>
              </w:rPr>
              <w:t>NFPA 13R systems require annual inspection plus central-station monitoring.</w:t>
            </w:r>
          </w:p>
        </w:tc>
      </w:tr>
      <w:tr>
        <w:tc>
          <w:tcPr>
            <w:tcW w:type="dxa" w:w="2808"/>
          </w:tcPr>
          <w:p>
            <w:pPr>
              <w:spacing w:after="40" w:before="40"/>
            </w:pPr>
            <w:r/>
            <w:r>
              <w:rPr>
                <w:rFonts w:ascii="Arial" w:hAnsi="Arial"/>
                <w:b w:val="0"/>
                <w:sz w:val="15"/>
              </w:rPr>
              <w:t>Security, access control &amp; cameras per building / yr</w:t>
            </w:r>
          </w:p>
        </w:tc>
        <w:tc>
          <w:tcPr>
            <w:tcW w:type="dxa" w:w="1080"/>
          </w:tcPr>
          <w:p>
            <w:pPr>
              <w:spacing w:after="40" w:before="40"/>
              <w:jc w:val="right"/>
            </w:pPr>
            <w:r/>
            <w:r>
              <w:rPr>
                <w:rFonts w:ascii="Arial" w:hAnsi="Arial"/>
                <w:b w:val="0"/>
                <w:sz w:val="15"/>
              </w:rPr>
              <w:t>$1,500</w:t>
            </w:r>
          </w:p>
        </w:tc>
        <w:tc>
          <w:tcPr>
            <w:tcW w:type="dxa" w:w="5616"/>
          </w:tcPr>
          <w:p>
            <w:pPr>
              <w:spacing w:after="40" w:before="40"/>
            </w:pPr>
            <w:r/>
            <w:r>
              <w:rPr>
                <w:rFonts w:ascii="Arial" w:hAnsi="Arial"/>
                <w:b w:val="0"/>
                <w:sz w:val="15"/>
              </w:rPr>
              <w:t>The Jan-2026 submission carried $3,120 for one building.</w:t>
            </w:r>
          </w:p>
        </w:tc>
      </w:tr>
      <w:tr>
        <w:tc>
          <w:tcPr>
            <w:tcW w:type="dxa" w:w="2808"/>
          </w:tcPr>
          <w:p>
            <w:pPr>
              <w:spacing w:after="40" w:before="40"/>
            </w:pPr>
            <w:r/>
            <w:r>
              <w:rPr>
                <w:rFonts w:ascii="Arial" w:hAnsi="Arial"/>
                <w:b w:val="0"/>
                <w:sz w:val="15"/>
              </w:rPr>
              <w:t>G&amp;A: legal, accounting, software, marketing per unit / yr</w:t>
            </w:r>
          </w:p>
        </w:tc>
        <w:tc>
          <w:tcPr>
            <w:tcW w:type="dxa" w:w="1080"/>
          </w:tcPr>
          <w:p>
            <w:pPr>
              <w:spacing w:after="40" w:before="40"/>
              <w:jc w:val="right"/>
            </w:pPr>
            <w:r/>
            <w:r>
              <w:rPr>
                <w:rFonts w:ascii="Arial" w:hAnsi="Arial"/>
                <w:b w:val="0"/>
                <w:sz w:val="15"/>
              </w:rPr>
              <w:t>$300</w:t>
            </w:r>
          </w:p>
        </w:tc>
        <w:tc>
          <w:tcPr>
            <w:tcW w:type="dxa" w:w="5616"/>
          </w:tcPr>
          <w:p>
            <w:pPr>
              <w:spacing w:after="40" w:before="40"/>
            </w:pPr>
            <w:r/>
            <w:r>
              <w:rPr>
                <w:rFonts w:ascii="Arial" w:hAnsi="Arial"/>
                <w:b w:val="0"/>
                <w:sz w:val="15"/>
              </w:rPr>
              <w:t>—</w:t>
            </w:r>
          </w:p>
        </w:tc>
      </w:tr>
      <w:tr>
        <w:tc>
          <w:tcPr>
            <w:tcW w:type="dxa" w:w="2808"/>
          </w:tcPr>
          <w:p>
            <w:pPr>
              <w:spacing w:after="40" w:before="40"/>
            </w:pPr>
            <w:r/>
            <w:r>
              <w:rPr>
                <w:rFonts w:ascii="Arial" w:hAnsi="Arial"/>
                <w:b w:val="0"/>
                <w:sz w:val="15"/>
              </w:rPr>
              <w:t>Special Benefits District surcharge per building / yr</w:t>
            </w:r>
          </w:p>
        </w:tc>
        <w:tc>
          <w:tcPr>
            <w:tcW w:type="dxa" w:w="1080"/>
          </w:tcPr>
          <w:p>
            <w:pPr>
              <w:spacing w:after="40" w:before="40"/>
              <w:jc w:val="right"/>
            </w:pPr>
            <w:r/>
            <w:r>
              <w:rPr>
                <w:rFonts w:ascii="Arial" w:hAnsi="Arial"/>
                <w:b w:val="0"/>
                <w:sz w:val="15"/>
              </w:rPr>
              <w:t>$350</w:t>
            </w:r>
          </w:p>
        </w:tc>
        <w:tc>
          <w:tcPr>
            <w:tcW w:type="dxa" w:w="5616"/>
          </w:tcPr>
          <w:p>
            <w:pPr>
              <w:spacing w:after="40" w:before="40"/>
            </w:pPr>
            <w:r/>
            <w:r>
              <w:rPr>
                <w:rFonts w:ascii="Arial" w:hAnsi="Arial"/>
                <w:b w:val="0"/>
                <w:sz w:val="15"/>
              </w:rPr>
              <w:t>1816 paid $313 in 2025.</w:t>
            </w:r>
          </w:p>
        </w:tc>
      </w:tr>
      <w:tr>
        <w:tc>
          <w:tcPr>
            <w:tcW w:type="dxa" w:w="2808"/>
          </w:tcPr>
          <w:p>
            <w:pPr>
              <w:spacing w:after="40" w:before="40"/>
            </w:pPr>
            <w:r/>
            <w:r>
              <w:rPr>
                <w:rFonts w:ascii="Arial" w:hAnsi="Arial"/>
                <w:b w:val="0"/>
                <w:sz w:val="15"/>
              </w:rPr>
              <w:t>Replacement reserves per unit / yr (all units)</w:t>
            </w:r>
          </w:p>
        </w:tc>
        <w:tc>
          <w:tcPr>
            <w:tcW w:type="dxa" w:w="1080"/>
          </w:tcPr>
          <w:p>
            <w:pPr>
              <w:spacing w:after="40" w:before="40"/>
              <w:jc w:val="right"/>
            </w:pPr>
            <w:r/>
            <w:r>
              <w:rPr>
                <w:rFonts w:ascii="Arial" w:hAnsi="Arial"/>
                <w:b w:val="0"/>
                <w:sz w:val="15"/>
              </w:rPr>
              <w:t>$300</w:t>
            </w:r>
          </w:p>
        </w:tc>
        <w:tc>
          <w:tcPr>
            <w:tcW w:type="dxa" w:w="5616"/>
          </w:tcPr>
          <w:p>
            <w:pPr>
              <w:spacing w:after="40" w:before="40"/>
            </w:pPr>
            <w:r/>
            <w:r>
              <w:rPr>
                <w:rFonts w:ascii="Arial" w:hAnsi="Arial"/>
                <w:b w:val="0"/>
                <w:sz w:val="15"/>
              </w:rPr>
              <w:t>CDFI and agency underwriting standard is $250–$350 per unit.</w:t>
            </w:r>
          </w:p>
        </w:tc>
      </w:tr>
      <w:tr>
        <w:tc>
          <w:tcPr>
            <w:tcW w:type="dxa" w:w="2808"/>
          </w:tcPr>
          <w:p>
            <w:pPr>
              <w:spacing w:after="40" w:before="40"/>
            </w:pPr>
            <w:r/>
            <w:r>
              <w:rPr>
                <w:rFonts w:ascii="Arial" w:hAnsi="Arial"/>
                <w:b w:val="0"/>
                <w:sz w:val="15"/>
              </w:rPr>
              <w:t>Furnished premium applied to market (underwriting) residential rents</w:t>
            </w:r>
          </w:p>
        </w:tc>
        <w:tc>
          <w:tcPr>
            <w:tcW w:type="dxa" w:w="1080"/>
          </w:tcPr>
          <w:p>
            <w:pPr>
              <w:spacing w:after="40" w:before="40"/>
              <w:jc w:val="right"/>
            </w:pPr>
            <w:r/>
            <w:r>
              <w:rPr>
                <w:rFonts w:ascii="Arial" w:hAnsi="Arial"/>
                <w:b w:val="0"/>
                <w:sz w:val="15"/>
              </w:rPr>
              <w:t>10%</w:t>
            </w:r>
          </w:p>
        </w:tc>
        <w:tc>
          <w:tcPr>
            <w:tcW w:type="dxa" w:w="5616"/>
          </w:tcPr>
          <w:p>
            <w:pPr>
              <w:spacing w:after="40" w:before="40"/>
            </w:pPr>
            <w:r/>
            <w:r>
              <w:rPr>
                <w:rFonts w:ascii="Arial" w:hAnsi="Arial"/>
                <w:b w:val="0"/>
                <w:sz w:val="15"/>
              </w:rPr>
              <w:t>Industry sources cite 15–30% over unfurnished (FurnishedUnfurnished; Flat Fee Landlord). The unfurnished Station North comps are marked up only 10% to stay conservative. The stress tests include a no-premium case.</w:t>
            </w:r>
          </w:p>
        </w:tc>
      </w:tr>
      <w:tr>
        <w:tc>
          <w:tcPr>
            <w:tcW w:type="dxa" w:w="2808"/>
          </w:tcPr>
          <w:p>
            <w:pPr>
              <w:spacing w:after="40" w:before="40"/>
            </w:pPr>
            <w:r/>
            <w:r>
              <w:rPr>
                <w:rFonts w:ascii="Arial" w:hAnsi="Arial"/>
                <w:b w:val="0"/>
                <w:sz w:val="15"/>
              </w:rPr>
              <w:t>Furniture package per apartment (fully furnished)</w:t>
            </w:r>
          </w:p>
        </w:tc>
        <w:tc>
          <w:tcPr>
            <w:tcW w:type="dxa" w:w="1080"/>
          </w:tcPr>
          <w:p>
            <w:pPr>
              <w:spacing w:after="40" w:before="40"/>
              <w:jc w:val="right"/>
            </w:pPr>
            <w:r/>
            <w:r>
              <w:rPr>
                <w:rFonts w:ascii="Arial" w:hAnsi="Arial"/>
                <w:b w:val="0"/>
                <w:sz w:val="15"/>
              </w:rPr>
              <w:t>$12,500</w:t>
            </w:r>
          </w:p>
        </w:tc>
        <w:tc>
          <w:tcPr>
            <w:tcW w:type="dxa" w:w="5616"/>
          </w:tcPr>
          <w:p>
            <w:pPr>
              <w:spacing w:after="40" w:before="40"/>
            </w:pPr>
            <w:r/>
            <w:r>
              <w:rPr>
                <w:rFonts w:ascii="Arial" w:hAnsi="Arial"/>
                <w:b w:val="0"/>
                <w:sz w:val="15"/>
              </w:rPr>
              <w:t>Premium, durable pieces for living, bedroom, dining, and kitchen/bath essentials. Mid-range 1BR packages cost $5k–$12k+ (Furnishr 2026); delivery and staging are included.</w:t>
            </w:r>
          </w:p>
        </w:tc>
      </w:tr>
      <w:tr>
        <w:tc>
          <w:tcPr>
            <w:tcW w:type="dxa" w:w="2808"/>
          </w:tcPr>
          <w:p>
            <w:pPr>
              <w:spacing w:after="40" w:before="40"/>
            </w:pPr>
            <w:r/>
            <w:r>
              <w:rPr>
                <w:rFonts w:ascii="Arial" w:hAnsi="Arial"/>
                <w:b w:val="0"/>
                <w:sz w:val="15"/>
              </w:rPr>
              <w:t>Premium flooring upgrade — Brazilian cherry hardwood or imported porcelain tile ($/SF of unit area, over base allowance)</w:t>
            </w:r>
          </w:p>
        </w:tc>
        <w:tc>
          <w:tcPr>
            <w:tcW w:type="dxa" w:w="1080"/>
          </w:tcPr>
          <w:p>
            <w:pPr>
              <w:spacing w:after="40" w:before="40"/>
              <w:jc w:val="right"/>
            </w:pPr>
            <w:r/>
            <w:r>
              <w:rPr>
                <w:rFonts w:ascii="Arial" w:hAnsi="Arial"/>
                <w:b w:val="0"/>
                <w:sz w:val="15"/>
              </w:rPr>
              <w:t>$11</w:t>
            </w:r>
          </w:p>
        </w:tc>
        <w:tc>
          <w:tcPr>
            <w:tcW w:type="dxa" w:w="5616"/>
          </w:tcPr>
          <w:p>
            <w:pPr>
              <w:spacing w:after="40" w:before="40"/>
            </w:pPr>
            <w:r/>
            <w:r>
              <w:rPr>
                <w:rFonts w:ascii="Arial" w:hAnsi="Arial"/>
                <w:b w:val="0"/>
                <w:sz w:val="15"/>
              </w:rPr>
              <w:t>Brazilian cherry (Jatoba) is ≈$5–$13/SF material plus $4–$8/SF install (Brazilian Direct; Homewyse). Imported porcelain is ≈$15–$25/SF installed (HomeGuide; Angi). This is the premium over the base flooring allowance already in the trade budget.</w:t>
            </w:r>
          </w:p>
        </w:tc>
      </w:tr>
      <w:tr>
        <w:tc>
          <w:tcPr>
            <w:tcW w:type="dxa" w:w="2808"/>
          </w:tcPr>
          <w:p>
            <w:pPr>
              <w:spacing w:after="40" w:before="40"/>
            </w:pPr>
            <w:r/>
            <w:r>
              <w:rPr>
                <w:rFonts w:ascii="Arial" w:hAnsi="Arial"/>
                <w:b w:val="0"/>
                <w:sz w:val="15"/>
              </w:rPr>
              <w:t>State-of-the-art smart-home &amp; premium appliance package per apartment</w:t>
            </w:r>
          </w:p>
        </w:tc>
        <w:tc>
          <w:tcPr>
            <w:tcW w:type="dxa" w:w="1080"/>
          </w:tcPr>
          <w:p>
            <w:pPr>
              <w:spacing w:after="40" w:before="40"/>
              <w:jc w:val="right"/>
            </w:pPr>
            <w:r/>
            <w:r>
              <w:rPr>
                <w:rFonts w:ascii="Arial" w:hAnsi="Arial"/>
                <w:b w:val="0"/>
                <w:sz w:val="15"/>
              </w:rPr>
              <w:t>$4,500</w:t>
            </w:r>
          </w:p>
        </w:tc>
        <w:tc>
          <w:tcPr>
            <w:tcW w:type="dxa" w:w="5616"/>
          </w:tcPr>
          <w:p>
            <w:pPr>
              <w:spacing w:after="40" w:before="40"/>
            </w:pPr>
            <w:r/>
            <w:r>
              <w:rPr>
                <w:rFonts w:ascii="Arial" w:hAnsi="Arial"/>
                <w:b w:val="0"/>
                <w:sz w:val="15"/>
              </w:rPr>
              <w:t>Smart locks, thermostats and lighting; video intercom; premium stainless appliance suite with in-unit washer/dryer upgrade.</w:t>
            </w:r>
          </w:p>
        </w:tc>
      </w:tr>
      <w:tr>
        <w:tc>
          <w:tcPr>
            <w:tcW w:type="dxa" w:w="2808"/>
          </w:tcPr>
          <w:p>
            <w:pPr>
              <w:spacing w:after="40" w:before="40"/>
            </w:pPr>
            <w:r/>
            <w:r>
              <w:rPr>
                <w:rFonts w:ascii="Arial" w:hAnsi="Arial"/>
                <w:b w:val="0"/>
                <w:sz w:val="15"/>
              </w:rPr>
              <w:t>Private rear deck size (18' × 8') — SF per deck</w:t>
            </w:r>
          </w:p>
        </w:tc>
        <w:tc>
          <w:tcPr>
            <w:tcW w:type="dxa" w:w="1080"/>
          </w:tcPr>
          <w:p>
            <w:pPr>
              <w:spacing w:after="40" w:before="40"/>
              <w:jc w:val="right"/>
            </w:pPr>
            <w:r/>
            <w:r>
              <w:rPr>
                <w:rFonts w:ascii="Arial" w:hAnsi="Arial"/>
                <w:b w:val="0"/>
                <w:sz w:val="15"/>
              </w:rPr>
              <w:t>144</w:t>
            </w:r>
          </w:p>
        </w:tc>
        <w:tc>
          <w:tcPr>
            <w:tcW w:type="dxa" w:w="5616"/>
          </w:tcPr>
          <w:p>
            <w:pPr>
              <w:spacing w:after="40" w:before="40"/>
            </w:pPr>
            <w:r/>
            <w:r>
              <w:rPr>
                <w:rFonts w:ascii="Arial" w:hAnsi="Arial"/>
                <w:b w:val="0"/>
                <w:sz w:val="15"/>
              </w:rPr>
              <w:t>Nine rear apartments, one deck each. Rear-yard setback and CHAP/zoning review required. Replaces 1816's permitted 80 SF deck scope.</w:t>
            </w:r>
          </w:p>
        </w:tc>
      </w:tr>
      <w:tr>
        <w:tc>
          <w:tcPr>
            <w:tcW w:type="dxa" w:w="2808"/>
          </w:tcPr>
          <w:p>
            <w:pPr>
              <w:spacing w:after="40" w:before="40"/>
            </w:pPr>
            <w:r/>
            <w:r>
              <w:rPr>
                <w:rFonts w:ascii="Arial" w:hAnsi="Arial"/>
                <w:b w:val="0"/>
                <w:sz w:val="15"/>
              </w:rPr>
              <w:t>Elevated stacked deck cost ($/SF, composite on steel posts, 42" rails, privacy screens)</w:t>
            </w:r>
          </w:p>
        </w:tc>
        <w:tc>
          <w:tcPr>
            <w:tcW w:type="dxa" w:w="1080"/>
          </w:tcPr>
          <w:p>
            <w:pPr>
              <w:spacing w:after="40" w:before="40"/>
              <w:jc w:val="right"/>
            </w:pPr>
            <w:r/>
            <w:r>
              <w:rPr>
                <w:rFonts w:ascii="Arial" w:hAnsi="Arial"/>
                <w:b w:val="0"/>
                <w:sz w:val="15"/>
              </w:rPr>
              <w:t>$95</w:t>
            </w:r>
          </w:p>
        </w:tc>
        <w:tc>
          <w:tcPr>
            <w:tcW w:type="dxa" w:w="5616"/>
          </w:tcPr>
          <w:p>
            <w:pPr>
              <w:spacing w:after="40" w:before="40"/>
            </w:pPr>
            <w:r/>
            <w:r>
              <w:rPr>
                <w:rFonts w:ascii="Arial" w:hAnsi="Arial"/>
                <w:b w:val="0"/>
                <w:sz w:val="15"/>
              </w:rPr>
              <w:t>Elevated and multi-level decks run $50–$130/SF (HomeAdvisor; Angi 2026). Upper-range value for stacked 2nd–4th floor decks on a masonry building.</w:t>
            </w:r>
          </w:p>
        </w:tc>
      </w:tr>
      <w:tr>
        <w:tc>
          <w:tcPr>
            <w:tcW w:type="dxa" w:w="2808"/>
          </w:tcPr>
          <w:p>
            <w:pPr>
              <w:spacing w:after="40" w:before="40"/>
            </w:pPr>
            <w:r/>
            <w:r>
              <w:rPr>
                <w:rFonts w:ascii="Arial" w:hAnsi="Arial"/>
                <w:b w:val="0"/>
                <w:sz w:val="15"/>
              </w:rPr>
              <w:t>Outdoor cooking station per deck (ELECTRIC built-in grill, counter, GFCI power, lighting)</w:t>
            </w:r>
          </w:p>
        </w:tc>
        <w:tc>
          <w:tcPr>
            <w:tcW w:type="dxa" w:w="1080"/>
          </w:tcPr>
          <w:p>
            <w:pPr>
              <w:spacing w:after="40" w:before="40"/>
              <w:jc w:val="right"/>
            </w:pPr>
            <w:r/>
            <w:r>
              <w:rPr>
                <w:rFonts w:ascii="Arial" w:hAnsi="Arial"/>
                <w:b w:val="0"/>
                <w:sz w:val="15"/>
              </w:rPr>
              <w:t>$6,500</w:t>
            </w:r>
          </w:p>
        </w:tc>
        <w:tc>
          <w:tcPr>
            <w:tcW w:type="dxa" w:w="5616"/>
          </w:tcPr>
          <w:p>
            <w:pPr>
              <w:spacing w:after="40" w:before="40"/>
            </w:pPr>
            <w:r/>
            <w:r>
              <w:rPr>
                <w:rFonts w:ascii="Arial" w:hAnsi="Arial"/>
                <w:b w:val="0"/>
                <w:sz w:val="15"/>
              </w:rPr>
              <w:t>Baltimore City Fire Code §308 bars open-flame cooking on combustible balconies or within 10 ft of combustible construction; electric grills are permitted. Confirm with the Fire Marshal.</w:t>
            </w:r>
          </w:p>
        </w:tc>
      </w:tr>
      <w:tr>
        <w:tc>
          <w:tcPr>
            <w:tcW w:type="dxa" w:w="2808"/>
          </w:tcPr>
          <w:p>
            <w:pPr>
              <w:spacing w:after="40" w:before="40"/>
            </w:pPr>
            <w:r/>
            <w:r>
              <w:rPr>
                <w:rFonts w:ascii="Arial" w:hAnsi="Arial"/>
                <w:b w:val="0"/>
                <w:sz w:val="15"/>
              </w:rPr>
              <w:t>Deck furniture package per deck (dining set, lounge seating, planters)</w:t>
            </w:r>
          </w:p>
        </w:tc>
        <w:tc>
          <w:tcPr>
            <w:tcW w:type="dxa" w:w="1080"/>
          </w:tcPr>
          <w:p>
            <w:pPr>
              <w:spacing w:after="40" w:before="40"/>
              <w:jc w:val="right"/>
            </w:pPr>
            <w:r/>
            <w:r>
              <w:rPr>
                <w:rFonts w:ascii="Arial" w:hAnsi="Arial"/>
                <w:b w:val="0"/>
                <w:sz w:val="15"/>
              </w:rPr>
              <w:t>$2,500</w:t>
            </w:r>
          </w:p>
        </w:tc>
        <w:tc>
          <w:tcPr>
            <w:tcW w:type="dxa" w:w="5616"/>
          </w:tcPr>
          <w:p>
            <w:pPr>
              <w:spacing w:after="40" w:before="40"/>
            </w:pPr>
            <w:r/>
            <w:r>
              <w:rPr>
                <w:rFonts w:ascii="Arial" w:hAnsi="Arial"/>
                <w:b w:val="0"/>
                <w:sz w:val="15"/>
              </w:rPr>
              <w:t>Weather-rated outdoor furnishings; part of the furnished apartment package.</w:t>
            </w:r>
          </w:p>
        </w:tc>
      </w:tr>
      <w:tr>
        <w:tc>
          <w:tcPr>
            <w:tcW w:type="dxa" w:w="2808"/>
          </w:tcPr>
          <w:p>
            <w:pPr>
              <w:spacing w:after="40" w:before="40"/>
            </w:pPr>
            <w:r/>
            <w:r>
              <w:rPr>
                <w:rFonts w:ascii="Arial" w:hAnsi="Arial"/>
                <w:b w:val="0"/>
                <w:sz w:val="15"/>
              </w:rPr>
              <w:t>Deck &amp; outdoor kitchen maintenance per deck / yr</w:t>
            </w:r>
          </w:p>
        </w:tc>
        <w:tc>
          <w:tcPr>
            <w:tcW w:type="dxa" w:w="1080"/>
          </w:tcPr>
          <w:p>
            <w:pPr>
              <w:spacing w:after="40" w:before="40"/>
              <w:jc w:val="right"/>
            </w:pPr>
            <w:r/>
            <w:r>
              <w:rPr>
                <w:rFonts w:ascii="Arial" w:hAnsi="Arial"/>
                <w:b w:val="0"/>
                <w:sz w:val="15"/>
              </w:rPr>
              <w:t>$300</w:t>
            </w:r>
          </w:p>
        </w:tc>
        <w:tc>
          <w:tcPr>
            <w:tcW w:type="dxa" w:w="5616"/>
          </w:tcPr>
          <w:p>
            <w:pPr>
              <w:spacing w:after="40" w:before="40"/>
            </w:pPr>
            <w:r/>
            <w:r>
              <w:rPr>
                <w:rFonts w:ascii="Arial" w:hAnsi="Arial"/>
                <w:b w:val="0"/>
                <w:sz w:val="15"/>
              </w:rPr>
              <w:t>Cleaning, sealing, appliance service.</w:t>
            </w:r>
          </w:p>
        </w:tc>
      </w:tr>
      <w:tr>
        <w:tc>
          <w:tcPr>
            <w:tcW w:type="dxa" w:w="2808"/>
          </w:tcPr>
          <w:p>
            <w:pPr>
              <w:spacing w:after="40" w:before="40"/>
            </w:pPr>
            <w:r/>
            <w:r>
              <w:rPr>
                <w:rFonts w:ascii="Arial" w:hAnsi="Arial"/>
                <w:b w:val="0"/>
                <w:sz w:val="15"/>
              </w:rPr>
              <w:t>Total property tax rate (City 2.248% + State 0.112%)</w:t>
            </w:r>
          </w:p>
        </w:tc>
        <w:tc>
          <w:tcPr>
            <w:tcW w:type="dxa" w:w="1080"/>
          </w:tcPr>
          <w:p>
            <w:pPr>
              <w:spacing w:after="40" w:before="40"/>
              <w:jc w:val="right"/>
            </w:pPr>
            <w:r/>
            <w:r>
              <w:rPr>
                <w:rFonts w:ascii="Arial" w:hAnsi="Arial"/>
                <w:b w:val="0"/>
                <w:sz w:val="15"/>
              </w:rPr>
              <w:t>2.36%</w:t>
            </w:r>
          </w:p>
        </w:tc>
        <w:tc>
          <w:tcPr>
            <w:tcW w:type="dxa" w:w="5616"/>
          </w:tcPr>
          <w:p>
            <w:pPr>
              <w:spacing w:after="40" w:before="40"/>
            </w:pPr>
            <w:r/>
            <w:r>
              <w:rPr>
                <w:rFonts w:ascii="Arial" w:hAnsi="Arial"/>
                <w:b w:val="0"/>
                <w:sz w:val="15"/>
              </w:rPr>
              <w:t>Baltimore City FY2026 real property tax bill for 1816 N Charles; City rate confirmed for FY2027 (research/02).</w:t>
            </w:r>
          </w:p>
        </w:tc>
      </w:tr>
      <w:tr>
        <w:tc>
          <w:tcPr>
            <w:tcW w:type="dxa" w:w="2808"/>
          </w:tcPr>
          <w:p>
            <w:pPr>
              <w:spacing w:after="40" w:before="40"/>
            </w:pPr>
            <w:r/>
            <w:r>
              <w:rPr>
                <w:rFonts w:ascii="Arial" w:hAnsi="Arial"/>
                <w:b w:val="0"/>
                <w:sz w:val="15"/>
              </w:rPr>
              <w:t>City portion of the tax rate (basis for the CHAP credit)</w:t>
            </w:r>
          </w:p>
        </w:tc>
        <w:tc>
          <w:tcPr>
            <w:tcW w:type="dxa" w:w="1080"/>
          </w:tcPr>
          <w:p>
            <w:pPr>
              <w:spacing w:after="40" w:before="40"/>
              <w:jc w:val="right"/>
            </w:pPr>
            <w:r/>
            <w:r>
              <w:rPr>
                <w:rFonts w:ascii="Arial" w:hAnsi="Arial"/>
                <w:b w:val="0"/>
                <w:sz w:val="15"/>
              </w:rPr>
              <w:t>2.25%</w:t>
            </w:r>
          </w:p>
        </w:tc>
        <w:tc>
          <w:tcPr>
            <w:tcW w:type="dxa" w:w="5616"/>
          </w:tcPr>
          <w:p>
            <w:pPr>
              <w:spacing w:after="40" w:before="40"/>
            </w:pPr>
            <w:r/>
            <w:r>
              <w:rPr>
                <w:rFonts w:ascii="Arial" w:hAnsi="Arial"/>
                <w:b w:val="0"/>
                <w:sz w:val="15"/>
              </w:rPr>
              <w:t>CHAP credits the City tax only.</w:t>
            </w:r>
          </w:p>
        </w:tc>
      </w:tr>
      <w:tr>
        <w:tc>
          <w:tcPr>
            <w:tcW w:type="dxa" w:w="2808"/>
          </w:tcPr>
          <w:p>
            <w:pPr>
              <w:spacing w:after="40" w:before="40"/>
            </w:pPr>
            <w:r/>
            <w:r>
              <w:rPr>
                <w:rFonts w:ascii="Arial" w:hAnsi="Arial"/>
                <w:b w:val="0"/>
                <w:sz w:val="15"/>
              </w:rPr>
              <w:t>1816 stabilized assessment</w:t>
            </w:r>
          </w:p>
        </w:tc>
        <w:tc>
          <w:tcPr>
            <w:tcW w:type="dxa" w:w="1080"/>
          </w:tcPr>
          <w:p>
            <w:pPr>
              <w:spacing w:after="40" w:before="40"/>
              <w:jc w:val="right"/>
            </w:pPr>
            <w:r/>
            <w:r>
              <w:rPr>
                <w:rFonts w:ascii="Arial" w:hAnsi="Arial"/>
                <w:b w:val="0"/>
                <w:sz w:val="15"/>
              </w:rPr>
              <w:t>$1,200,000</w:t>
            </w:r>
          </w:p>
        </w:tc>
        <w:tc>
          <w:tcPr>
            <w:tcW w:type="dxa" w:w="5616"/>
          </w:tcPr>
          <w:p>
            <w:pPr>
              <w:spacing w:after="40" w:before="40"/>
            </w:pPr>
            <w:r/>
            <w:r>
              <w:rPr>
                <w:rFonts w:ascii="Arial" w:hAnsi="Arial"/>
                <w:b w:val="0"/>
                <w:sz w:val="15"/>
              </w:rPr>
              <w:t>Bowery as-complete value was $1.21M (Feb 2024). SDAT assesses at full cash value.</w:t>
            </w:r>
          </w:p>
        </w:tc>
      </w:tr>
      <w:tr>
        <w:tc>
          <w:tcPr>
            <w:tcW w:type="dxa" w:w="2808"/>
          </w:tcPr>
          <w:p>
            <w:pPr>
              <w:spacing w:after="40" w:before="40"/>
            </w:pPr>
            <w:r/>
            <w:r>
              <w:rPr>
                <w:rFonts w:ascii="Arial" w:hAnsi="Arial"/>
                <w:b w:val="0"/>
                <w:sz w:val="15"/>
              </w:rPr>
              <w:t>1818 stabilized assessment</w:t>
            </w:r>
          </w:p>
        </w:tc>
        <w:tc>
          <w:tcPr>
            <w:tcW w:type="dxa" w:w="1080"/>
          </w:tcPr>
          <w:p>
            <w:pPr>
              <w:spacing w:after="40" w:before="40"/>
              <w:jc w:val="right"/>
            </w:pPr>
            <w:r/>
            <w:r>
              <w:rPr>
                <w:rFonts w:ascii="Arial" w:hAnsi="Arial"/>
                <w:b w:val="0"/>
                <w:sz w:val="15"/>
              </w:rPr>
              <w:t>$1,250,000</w:t>
            </w:r>
          </w:p>
        </w:tc>
        <w:tc>
          <w:tcPr>
            <w:tcW w:type="dxa" w:w="5616"/>
          </w:tcPr>
          <w:p>
            <w:pPr>
              <w:spacing w:after="40" w:before="40"/>
            </w:pPr>
            <w:r/>
            <w:r>
              <w:rPr>
                <w:rFonts w:ascii="Arial" w:hAnsi="Arial"/>
                <w:b w:val="0"/>
                <w:sz w:val="15"/>
              </w:rPr>
              <w:t>Estimated: 6 apartments + 1 commercial unit, similar to 1816.</w:t>
            </w:r>
          </w:p>
        </w:tc>
      </w:tr>
      <w:tr>
        <w:tc>
          <w:tcPr>
            <w:tcW w:type="dxa" w:w="2808"/>
          </w:tcPr>
          <w:p>
            <w:pPr>
              <w:spacing w:after="40" w:before="40"/>
            </w:pPr>
            <w:r/>
            <w:r>
              <w:rPr>
                <w:rFonts w:ascii="Arial" w:hAnsi="Arial"/>
                <w:b w:val="0"/>
                <w:sz w:val="15"/>
              </w:rPr>
              <w:t>1820 stabilized assessment</w:t>
            </w:r>
          </w:p>
        </w:tc>
        <w:tc>
          <w:tcPr>
            <w:tcW w:type="dxa" w:w="1080"/>
          </w:tcPr>
          <w:p>
            <w:pPr>
              <w:spacing w:after="40" w:before="40"/>
              <w:jc w:val="right"/>
            </w:pPr>
            <w:r/>
            <w:r>
              <w:rPr>
                <w:rFonts w:ascii="Arial" w:hAnsi="Arial"/>
                <w:b w:val="0"/>
                <w:sz w:val="15"/>
              </w:rPr>
              <w:t>$1,250,000</w:t>
            </w:r>
          </w:p>
        </w:tc>
        <w:tc>
          <w:tcPr>
            <w:tcW w:type="dxa" w:w="5616"/>
          </w:tcPr>
          <w:p>
            <w:pPr>
              <w:spacing w:after="40" w:before="40"/>
            </w:pPr>
            <w:r/>
            <w:r>
              <w:rPr>
                <w:rFonts w:ascii="Arial" w:hAnsi="Arial"/>
                <w:b w:val="0"/>
                <w:sz w:val="15"/>
              </w:rPr>
              <w:t>Estimated: 6 apartments + 1 commercial unit.</w:t>
            </w:r>
          </w:p>
        </w:tc>
      </w:tr>
      <w:tr>
        <w:tc>
          <w:tcPr>
            <w:tcW w:type="dxa" w:w="2808"/>
          </w:tcPr>
          <w:p>
            <w:pPr>
              <w:spacing w:after="40" w:before="40"/>
            </w:pPr>
            <w:r/>
            <w:r>
              <w:rPr>
                <w:rFonts w:ascii="Arial" w:hAnsi="Arial"/>
                <w:b w:val="0"/>
                <w:sz w:val="15"/>
              </w:rPr>
              <w:t>1816 pre-rehab (base) assessment</w:t>
            </w:r>
          </w:p>
        </w:tc>
        <w:tc>
          <w:tcPr>
            <w:tcW w:type="dxa" w:w="1080"/>
          </w:tcPr>
          <w:p>
            <w:pPr>
              <w:spacing w:after="40" w:before="40"/>
              <w:jc w:val="right"/>
            </w:pPr>
            <w:r/>
            <w:r>
              <w:rPr>
                <w:rFonts w:ascii="Arial" w:hAnsi="Arial"/>
                <w:b w:val="0"/>
                <w:sz w:val="15"/>
              </w:rPr>
              <w:t>$230,000</w:t>
            </w:r>
          </w:p>
        </w:tc>
        <w:tc>
          <w:tcPr>
            <w:tcW w:type="dxa" w:w="5616"/>
          </w:tcPr>
          <w:p>
            <w:pPr>
              <w:spacing w:after="40" w:before="40"/>
            </w:pPr>
            <w:r/>
            <w:r>
              <w:rPr>
                <w:rFonts w:ascii="Arial" w:hAnsi="Arial"/>
                <w:b w:val="0"/>
                <w:sz w:val="15"/>
              </w:rPr>
              <w:t>SDAT 2025–26 assessment: $230,000.</w:t>
            </w:r>
          </w:p>
        </w:tc>
      </w:tr>
      <w:tr>
        <w:tc>
          <w:tcPr>
            <w:tcW w:type="dxa" w:w="2808"/>
          </w:tcPr>
          <w:p>
            <w:pPr>
              <w:spacing w:after="40" w:before="40"/>
            </w:pPr>
            <w:r/>
            <w:r>
              <w:rPr>
                <w:rFonts w:ascii="Arial" w:hAnsi="Arial"/>
                <w:b w:val="0"/>
                <w:sz w:val="15"/>
              </w:rPr>
              <w:t>1818 pre-rehab (base) assessment</w:t>
            </w:r>
          </w:p>
        </w:tc>
        <w:tc>
          <w:tcPr>
            <w:tcW w:type="dxa" w:w="1080"/>
          </w:tcPr>
          <w:p>
            <w:pPr>
              <w:spacing w:after="40" w:before="40"/>
              <w:jc w:val="right"/>
            </w:pPr>
            <w:r/>
            <w:r>
              <w:rPr>
                <w:rFonts w:ascii="Arial" w:hAnsi="Arial"/>
                <w:b w:val="0"/>
                <w:sz w:val="15"/>
              </w:rPr>
              <w:t>$412,600</w:t>
            </w:r>
          </w:p>
        </w:tc>
        <w:tc>
          <w:tcPr>
            <w:tcW w:type="dxa" w:w="5616"/>
          </w:tcPr>
          <w:p>
            <w:pPr>
              <w:spacing w:after="40" w:before="40"/>
            </w:pPr>
            <w:r/>
            <w:r>
              <w:rPr>
                <w:rFonts w:ascii="Arial" w:hAnsi="Arial"/>
                <w:b w:val="0"/>
                <w:sz w:val="15"/>
              </w:rPr>
              <w:t>SDAT assessment cited in the 1818 foreclosure exceptions: $412,600.</w:t>
            </w:r>
          </w:p>
        </w:tc>
      </w:tr>
      <w:tr>
        <w:tc>
          <w:tcPr>
            <w:tcW w:type="dxa" w:w="2808"/>
          </w:tcPr>
          <w:p>
            <w:pPr>
              <w:spacing w:after="40" w:before="40"/>
            </w:pPr>
            <w:r/>
            <w:r>
              <w:rPr>
                <w:rFonts w:ascii="Arial" w:hAnsi="Arial"/>
                <w:b w:val="0"/>
                <w:sz w:val="15"/>
              </w:rPr>
              <w:t>1820 pre-rehab (base) assessment</w:t>
            </w:r>
          </w:p>
        </w:tc>
        <w:tc>
          <w:tcPr>
            <w:tcW w:type="dxa" w:w="1080"/>
          </w:tcPr>
          <w:p>
            <w:pPr>
              <w:spacing w:after="40" w:before="40"/>
              <w:jc w:val="right"/>
            </w:pPr>
            <w:r/>
            <w:r>
              <w:rPr>
                <w:rFonts w:ascii="Arial" w:hAnsi="Arial"/>
                <w:b w:val="0"/>
                <w:sz w:val="15"/>
              </w:rPr>
              <w:t>$150,000</w:t>
            </w:r>
          </w:p>
        </w:tc>
        <w:tc>
          <w:tcPr>
            <w:tcW w:type="dxa" w:w="5616"/>
          </w:tcPr>
          <w:p>
            <w:pPr>
              <w:spacing w:after="40" w:before="40"/>
            </w:pPr>
            <w:r/>
            <w:r>
              <w:rPr>
                <w:rFonts w:ascii="Arial" w:hAnsi="Arial"/>
                <w:b w:val="0"/>
                <w:sz w:val="15"/>
              </w:rPr>
              <w:t>Estimated. The parcel is City-owned and tax-exempt today; confirm the base value with SDAT/CHAP after conveyance.</w:t>
            </w:r>
          </w:p>
        </w:tc>
      </w:tr>
      <w:tr>
        <w:tc>
          <w:tcPr>
            <w:tcW w:type="dxa" w:w="2808"/>
          </w:tcPr>
          <w:p>
            <w:pPr>
              <w:spacing w:after="40" w:before="40"/>
            </w:pPr>
            <w:r/>
            <w:r>
              <w:rPr>
                <w:rFonts w:ascii="Arial" w:hAnsi="Arial"/>
                <w:b w:val="0"/>
                <w:sz w:val="15"/>
              </w:rPr>
              <w:t>CHAP credit: share of assessment increase credited</w:t>
            </w:r>
          </w:p>
        </w:tc>
        <w:tc>
          <w:tcPr>
            <w:tcW w:type="dxa" w:w="1080"/>
          </w:tcPr>
          <w:p>
            <w:pPr>
              <w:spacing w:after="40" w:before="40"/>
              <w:jc w:val="right"/>
            </w:pPr>
            <w:r/>
            <w:r>
              <w:rPr>
                <w:rFonts w:ascii="Arial" w:hAnsi="Arial"/>
                <w:b w:val="0"/>
                <w:sz w:val="15"/>
              </w:rPr>
              <w:t>100%</w:t>
            </w:r>
          </w:p>
        </w:tc>
        <w:tc>
          <w:tcPr>
            <w:tcW w:type="dxa" w:w="5616"/>
          </w:tcPr>
          <w:p>
            <w:pPr>
              <w:spacing w:after="40" w:before="40"/>
            </w:pPr>
            <w:r/>
            <w:r>
              <w:rPr>
                <w:rFonts w:ascii="Arial" w:hAnsi="Arial"/>
                <w:b w:val="0"/>
                <w:sz w:val="15"/>
              </w:rPr>
              <w:t>City Code Art. 28 §10-8: 100% of the city tax on the assessment increase for projects ≤$5M, for 10 years. The State portion is not credited, so this model credits only the City rate. Preliminary CHAP approval is required BEFORE work starts, and applications close 12/31/2027.</w:t>
            </w:r>
          </w:p>
        </w:tc>
      </w:tr>
      <w:tr>
        <w:tc>
          <w:tcPr>
            <w:tcW w:type="dxa" w:w="2808"/>
          </w:tcPr>
          <w:p>
            <w:pPr>
              <w:spacing w:after="40" w:before="40"/>
            </w:pPr>
            <w:r/>
            <w:r>
              <w:rPr>
                <w:rFonts w:ascii="Arial" w:hAnsi="Arial"/>
                <w:b w:val="0"/>
                <w:sz w:val="15"/>
              </w:rPr>
              <w:t>CHAP credit term (years)</w:t>
            </w:r>
          </w:p>
        </w:tc>
        <w:tc>
          <w:tcPr>
            <w:tcW w:type="dxa" w:w="1080"/>
          </w:tcPr>
          <w:p>
            <w:pPr>
              <w:spacing w:after="40" w:before="40"/>
              <w:jc w:val="right"/>
            </w:pPr>
            <w:r/>
            <w:r>
              <w:rPr>
                <w:rFonts w:ascii="Arial" w:hAnsi="Arial"/>
                <w:b w:val="0"/>
                <w:sz w:val="15"/>
              </w:rPr>
              <w:t>10</w:t>
            </w:r>
          </w:p>
        </w:tc>
        <w:tc>
          <w:tcPr>
            <w:tcW w:type="dxa" w:w="5616"/>
          </w:tcPr>
          <w:p>
            <w:pPr>
              <w:spacing w:after="40" w:before="40"/>
            </w:pPr>
            <w:r/>
            <w:r>
              <w:rPr>
                <w:rFonts w:ascii="Arial" w:hAnsi="Arial"/>
                <w:b w:val="0"/>
                <w:sz w:val="15"/>
              </w:rPr>
              <w:t>10-year credit, per the BDC RFP Section VII.b.</w:t>
            </w:r>
          </w:p>
        </w:tc>
      </w:tr>
      <w:tr>
        <w:tc>
          <w:tcPr>
            <w:tcW w:type="dxa" w:w="2808"/>
          </w:tcPr>
          <w:p>
            <w:pPr>
              <w:spacing w:after="40" w:before="40"/>
            </w:pPr>
            <w:r/>
            <w:r>
              <w:rPr>
                <w:rFonts w:ascii="Arial" w:hAnsi="Arial"/>
                <w:b w:val="0"/>
                <w:sz w:val="15"/>
              </w:rPr>
              <w:t>▸ Stabilized going-in cap rate</w:t>
            </w:r>
          </w:p>
        </w:tc>
        <w:tc>
          <w:tcPr>
            <w:tcW w:type="dxa" w:w="1080"/>
          </w:tcPr>
          <w:p>
            <w:pPr>
              <w:spacing w:after="40" w:before="40"/>
              <w:jc w:val="right"/>
            </w:pPr>
            <w:r/>
            <w:r>
              <w:rPr>
                <w:rFonts w:ascii="Arial" w:hAnsi="Arial"/>
                <w:b w:val="0"/>
                <w:sz w:val="15"/>
              </w:rPr>
              <w:t>7.50%</w:t>
            </w:r>
          </w:p>
        </w:tc>
        <w:tc>
          <w:tcPr>
            <w:tcW w:type="dxa" w:w="5616"/>
          </w:tcPr>
          <w:p>
            <w:pPr>
              <w:spacing w:after="40" w:before="40"/>
            </w:pPr>
            <w:r/>
            <w:r>
              <w:rPr>
                <w:rFonts w:ascii="Arial" w:hAnsi="Arial"/>
                <w:b w:val="0"/>
                <w:sz w:val="15"/>
              </w:rPr>
              <w:t>The Bowery appraisal concluded 7.50% for 1816. Small Baltimore mixed-use typically trades at 7–8.5% (see research/02).</w:t>
            </w:r>
          </w:p>
        </w:tc>
      </w:tr>
      <w:tr>
        <w:tc>
          <w:tcPr>
            <w:tcW w:type="dxa" w:w="2808"/>
          </w:tcPr>
          <w:p>
            <w:pPr>
              <w:spacing w:after="40" w:before="40"/>
            </w:pPr>
            <w:r/>
            <w:r>
              <w:rPr>
                <w:rFonts w:ascii="Arial" w:hAnsi="Arial"/>
                <w:b w:val="0"/>
                <w:sz w:val="15"/>
              </w:rPr>
              <w:t>▸ Exit (Year 10) cap rate</w:t>
            </w:r>
          </w:p>
        </w:tc>
        <w:tc>
          <w:tcPr>
            <w:tcW w:type="dxa" w:w="1080"/>
          </w:tcPr>
          <w:p>
            <w:pPr>
              <w:spacing w:after="40" w:before="40"/>
              <w:jc w:val="right"/>
            </w:pPr>
            <w:r/>
            <w:r>
              <w:rPr>
                <w:rFonts w:ascii="Arial" w:hAnsi="Arial"/>
                <w:b w:val="0"/>
                <w:sz w:val="15"/>
              </w:rPr>
              <w:t>8%</w:t>
            </w:r>
          </w:p>
        </w:tc>
        <w:tc>
          <w:tcPr>
            <w:tcW w:type="dxa" w:w="5616"/>
          </w:tcPr>
          <w:p>
            <w:pPr>
              <w:spacing w:after="40" w:before="40"/>
            </w:pPr>
            <w:r/>
            <w:r>
              <w:rPr>
                <w:rFonts w:ascii="Arial" w:hAnsi="Arial"/>
                <w:b w:val="0"/>
                <w:sz w:val="15"/>
              </w:rPr>
              <w:t>Going-in rate plus 50 bps, a conservative reversion assumption.</w:t>
            </w:r>
          </w:p>
        </w:tc>
      </w:tr>
      <w:tr>
        <w:tc>
          <w:tcPr>
            <w:tcW w:type="dxa" w:w="2808"/>
          </w:tcPr>
          <w:p>
            <w:pPr>
              <w:spacing w:after="40" w:before="40"/>
            </w:pPr>
            <w:r/>
            <w:r>
              <w:rPr>
                <w:rFonts w:ascii="Arial" w:hAnsi="Arial"/>
                <w:b w:val="0"/>
                <w:sz w:val="15"/>
              </w:rPr>
              <w:t>Cost of sale at reversion</w:t>
            </w:r>
          </w:p>
        </w:tc>
        <w:tc>
          <w:tcPr>
            <w:tcW w:type="dxa" w:w="1080"/>
          </w:tcPr>
          <w:p>
            <w:pPr>
              <w:spacing w:after="40" w:before="40"/>
              <w:jc w:val="right"/>
            </w:pPr>
            <w:r/>
            <w:r>
              <w:rPr>
                <w:rFonts w:ascii="Arial" w:hAnsi="Arial"/>
                <w:b w:val="0"/>
                <w:sz w:val="15"/>
              </w:rPr>
              <w:t>3%</w:t>
            </w:r>
          </w:p>
        </w:tc>
        <w:tc>
          <w:tcPr>
            <w:tcW w:type="dxa" w:w="5616"/>
          </w:tcPr>
          <w:p>
            <w:pPr>
              <w:spacing w:after="40" w:before="40"/>
            </w:pPr>
            <w:r/>
            <w:r>
              <w:rPr>
                <w:rFonts w:ascii="Arial" w:hAnsi="Arial"/>
                <w:b w:val="0"/>
                <w:sz w:val="15"/>
              </w:rPr>
              <w:t>—</w:t>
            </w:r>
          </w:p>
        </w:tc>
      </w:tr>
      <w:tr>
        <w:tc>
          <w:tcPr>
            <w:tcW w:type="dxa" w:w="2808"/>
          </w:tcPr>
          <w:p>
            <w:pPr>
              <w:spacing w:after="40" w:before="40"/>
            </w:pPr>
            <w:r/>
            <w:r>
              <w:rPr>
                <w:rFonts w:ascii="Arial" w:hAnsi="Arial"/>
                <w:b w:val="0"/>
                <w:sz w:val="15"/>
              </w:rPr>
              <w:t>1816 remaining hard cost to complete (residential + commercial)</w:t>
            </w:r>
          </w:p>
        </w:tc>
        <w:tc>
          <w:tcPr>
            <w:tcW w:type="dxa" w:w="1080"/>
          </w:tcPr>
          <w:p>
            <w:pPr>
              <w:spacing w:after="40" w:before="40"/>
              <w:jc w:val="right"/>
            </w:pPr>
            <w:r/>
            <w:r>
              <w:rPr>
                <w:rFonts w:ascii="Arial" w:hAnsi="Arial"/>
                <w:b w:val="0"/>
                <w:sz w:val="15"/>
              </w:rPr>
              <w:t>$322,000</w:t>
            </w:r>
          </w:p>
        </w:tc>
        <w:tc>
          <w:tcPr>
            <w:tcW w:type="dxa" w:w="5616"/>
          </w:tcPr>
          <w:p>
            <w:pPr>
              <w:spacing w:after="40" w:before="40"/>
            </w:pPr>
            <w:r/>
            <w:r>
              <w:rPr>
                <w:rFonts w:ascii="Arial" w:hAnsi="Arial"/>
                <w:b w:val="0"/>
                <w:sz w:val="15"/>
              </w:rPr>
              <w:t>The PM dashboard shows $277k of the $1.019M budget left to deploy. That figure plus the $45k sprinkler/fire-alarm scope gap is carried here.</w:t>
            </w:r>
          </w:p>
        </w:tc>
      </w:tr>
      <w:tr>
        <w:tc>
          <w:tcPr>
            <w:tcW w:type="dxa" w:w="2808"/>
          </w:tcPr>
          <w:p>
            <w:pPr>
              <w:spacing w:after="40" w:before="40"/>
            </w:pPr>
            <w:r/>
            <w:r>
              <w:rPr>
                <w:rFonts w:ascii="Arial" w:hAnsi="Arial"/>
                <w:b w:val="0"/>
                <w:sz w:val="15"/>
              </w:rPr>
              <w:t>1820 gut-rehab hard cost ($/GSF, trades only)</w:t>
            </w:r>
          </w:p>
        </w:tc>
        <w:tc>
          <w:tcPr>
            <w:tcW w:type="dxa" w:w="1080"/>
          </w:tcPr>
          <w:p>
            <w:pPr>
              <w:spacing w:after="40" w:before="40"/>
              <w:jc w:val="right"/>
            </w:pPr>
            <w:r/>
            <w:r>
              <w:rPr>
                <w:rFonts w:ascii="Arial" w:hAnsi="Arial"/>
                <w:b w:val="0"/>
                <w:sz w:val="15"/>
              </w:rPr>
              <w:t>$215</w:t>
            </w:r>
          </w:p>
        </w:tc>
        <w:tc>
          <w:tcPr>
            <w:tcW w:type="dxa" w:w="5616"/>
          </w:tcPr>
          <w:p>
            <w:pPr>
              <w:spacing w:after="40" w:before="40"/>
            </w:pPr>
            <w:r/>
            <w:r>
              <w:rPr>
                <w:rFonts w:ascii="Arial" w:hAnsi="Arial"/>
                <w:b w:val="0"/>
                <w:sz w:val="15"/>
              </w:rPr>
              <w:t>Trades only. Façade, sprinkler, abatement, storefront, GC fee, escalation and contingency are added separately, for an all-in ≈$300/GSF. Benchmarks: DHCD rehab cost limits $202–$277/SF; research recommends $250/SF before contingency. 1816's actual budget was about $170/SF.</w:t>
            </w:r>
          </w:p>
        </w:tc>
      </w:tr>
      <w:tr>
        <w:tc>
          <w:tcPr>
            <w:tcW w:type="dxa" w:w="2808"/>
          </w:tcPr>
          <w:p>
            <w:pPr>
              <w:spacing w:after="40" w:before="40"/>
            </w:pPr>
            <w:r/>
            <w:r>
              <w:rPr>
                <w:rFonts w:ascii="Arial" w:hAnsi="Arial"/>
                <w:b w:val="0"/>
                <w:sz w:val="15"/>
              </w:rPr>
              <w:t>1818 rehab of existing 3,800 SF ($/GSF)</w:t>
            </w:r>
          </w:p>
        </w:tc>
        <w:tc>
          <w:tcPr>
            <w:tcW w:type="dxa" w:w="1080"/>
          </w:tcPr>
          <w:p>
            <w:pPr>
              <w:spacing w:after="40" w:before="40"/>
              <w:jc w:val="right"/>
            </w:pPr>
            <w:r/>
            <w:r>
              <w:rPr>
                <w:rFonts w:ascii="Arial" w:hAnsi="Arial"/>
                <w:b w:val="0"/>
                <w:sz w:val="15"/>
              </w:rPr>
              <w:t>$185</w:t>
            </w:r>
          </w:p>
        </w:tc>
        <w:tc>
          <w:tcPr>
            <w:tcW w:type="dxa" w:w="5616"/>
          </w:tcPr>
          <w:p>
            <w:pPr>
              <w:spacing w:after="40" w:before="40"/>
            </w:pPr>
            <w:r/>
            <w:r>
              <w:rPr>
                <w:rFonts w:ascii="Arial" w:hAnsi="Arial"/>
                <w:b w:val="0"/>
                <w:sz w:val="15"/>
              </w:rPr>
              <w:t>The existing building is in better shape: a former restaurant fit-out that was occupied until 2025.</w:t>
            </w:r>
          </w:p>
        </w:tc>
      </w:tr>
      <w:tr>
        <w:tc>
          <w:tcPr>
            <w:tcW w:type="dxa" w:w="2808"/>
          </w:tcPr>
          <w:p>
            <w:pPr>
              <w:spacing w:after="40" w:before="40"/>
            </w:pPr>
            <w:r/>
            <w:r>
              <w:rPr>
                <w:rFonts w:ascii="Arial" w:hAnsi="Arial"/>
                <w:b w:val="0"/>
                <w:sz w:val="15"/>
              </w:rPr>
              <w:t>1818 new 3rd–4th floor vertical addition ($/GSF)</w:t>
            </w:r>
          </w:p>
        </w:tc>
        <w:tc>
          <w:tcPr>
            <w:tcW w:type="dxa" w:w="1080"/>
          </w:tcPr>
          <w:p>
            <w:pPr>
              <w:spacing w:after="40" w:before="40"/>
              <w:jc w:val="right"/>
            </w:pPr>
            <w:r/>
            <w:r>
              <w:rPr>
                <w:rFonts w:ascii="Arial" w:hAnsi="Arial"/>
                <w:b w:val="0"/>
                <w:sz w:val="15"/>
              </w:rPr>
              <w:t>$325</w:t>
            </w:r>
          </w:p>
        </w:tc>
        <w:tc>
          <w:tcPr>
            <w:tcW w:type="dxa" w:w="5616"/>
          </w:tcPr>
          <w:p>
            <w:pPr>
              <w:spacing w:after="40" w:before="40"/>
            </w:pPr>
            <w:r/>
            <w:r>
              <w:rPr>
                <w:rFonts w:ascii="Arial" w:hAnsi="Arial"/>
                <w:b w:val="0"/>
                <w:sz w:val="15"/>
              </w:rPr>
              <w:t>New construction on an existing masonry bearing structure, with steel/LVL framing and an elevator-free walk-up. Subject to structural engineering and CHAP review.</w:t>
            </w:r>
          </w:p>
        </w:tc>
      </w:tr>
      <w:tr>
        <w:tc>
          <w:tcPr>
            <w:tcW w:type="dxa" w:w="2808"/>
          </w:tcPr>
          <w:p>
            <w:pPr>
              <w:spacing w:after="40" w:before="40"/>
            </w:pPr>
            <w:r/>
            <w:r>
              <w:rPr>
                <w:rFonts w:ascii="Arial" w:hAnsi="Arial"/>
                <w:b w:val="0"/>
                <w:sz w:val="15"/>
              </w:rPr>
              <w:t>1818 new vertical addition area (SF)</w:t>
            </w:r>
          </w:p>
        </w:tc>
        <w:tc>
          <w:tcPr>
            <w:tcW w:type="dxa" w:w="1080"/>
          </w:tcPr>
          <w:p>
            <w:pPr>
              <w:spacing w:after="40" w:before="40"/>
              <w:jc w:val="right"/>
            </w:pPr>
            <w:r/>
            <w:r>
              <w:rPr>
                <w:rFonts w:ascii="Arial" w:hAnsi="Arial"/>
                <w:b w:val="0"/>
                <w:sz w:val="15"/>
              </w:rPr>
              <w:t>2,600</w:t>
            </w:r>
          </w:p>
        </w:tc>
        <w:tc>
          <w:tcPr>
            <w:tcW w:type="dxa" w:w="5616"/>
          </w:tcPr>
          <w:p>
            <w:pPr>
              <w:spacing w:after="40" w:before="40"/>
            </w:pPr>
            <w:r/>
            <w:r>
              <w:rPr>
                <w:rFonts w:ascii="Arial" w:hAnsi="Arial"/>
                <w:b w:val="0"/>
                <w:sz w:val="15"/>
              </w:rPr>
              <w:t>Two new floors of about 1,300 SF each above the existing 2-story building.</w:t>
            </w:r>
          </w:p>
        </w:tc>
      </w:tr>
      <w:tr>
        <w:tc>
          <w:tcPr>
            <w:tcW w:type="dxa" w:w="2808"/>
          </w:tcPr>
          <w:p>
            <w:pPr>
              <w:spacing w:after="40" w:before="40"/>
            </w:pPr>
            <w:r/>
            <w:r>
              <w:rPr>
                <w:rFonts w:ascii="Arial" w:hAnsi="Arial"/>
                <w:b w:val="0"/>
                <w:sz w:val="15"/>
              </w:rPr>
              <w:t>1818 historic façade restoration</w:t>
            </w:r>
          </w:p>
        </w:tc>
        <w:tc>
          <w:tcPr>
            <w:tcW w:type="dxa" w:w="1080"/>
          </w:tcPr>
          <w:p>
            <w:pPr>
              <w:spacing w:after="40" w:before="40"/>
              <w:jc w:val="right"/>
            </w:pPr>
            <w:r/>
            <w:r>
              <w:rPr>
                <w:rFonts w:ascii="Arial" w:hAnsi="Arial"/>
                <w:b w:val="0"/>
                <w:sz w:val="15"/>
              </w:rPr>
              <w:t>$65,000</w:t>
            </w:r>
          </w:p>
        </w:tc>
        <w:tc>
          <w:tcPr>
            <w:tcW w:type="dxa" w:w="5616"/>
          </w:tcPr>
          <w:p>
            <w:pPr>
              <w:spacing w:after="40" w:before="40"/>
            </w:pPr>
            <w:r/>
            <w:r>
              <w:rPr>
                <w:rFonts w:ascii="Arial" w:hAnsi="Arial"/>
                <w:b w:val="0"/>
                <w:sz w:val="15"/>
              </w:rPr>
              <w:t>Masonry repointing, cornice, and storefront to match the mansion.</w:t>
            </w:r>
          </w:p>
        </w:tc>
      </w:tr>
      <w:tr>
        <w:tc>
          <w:tcPr>
            <w:tcW w:type="dxa" w:w="2808"/>
          </w:tcPr>
          <w:p>
            <w:pPr>
              <w:spacing w:after="40" w:before="40"/>
            </w:pPr>
            <w:r/>
            <w:r>
              <w:rPr>
                <w:rFonts w:ascii="Arial" w:hAnsi="Arial"/>
                <w:b w:val="0"/>
                <w:sz w:val="15"/>
              </w:rPr>
              <w:t>1820 historic façade restoration</w:t>
            </w:r>
          </w:p>
        </w:tc>
        <w:tc>
          <w:tcPr>
            <w:tcW w:type="dxa" w:w="1080"/>
          </w:tcPr>
          <w:p>
            <w:pPr>
              <w:spacing w:after="40" w:before="40"/>
              <w:jc w:val="right"/>
            </w:pPr>
            <w:r/>
            <w:r>
              <w:rPr>
                <w:rFonts w:ascii="Arial" w:hAnsi="Arial"/>
                <w:b w:val="0"/>
                <w:sz w:val="15"/>
              </w:rPr>
              <w:t>$90,000</w:t>
            </w:r>
          </w:p>
        </w:tc>
        <w:tc>
          <w:tcPr>
            <w:tcW w:type="dxa" w:w="5616"/>
          </w:tcPr>
          <w:p>
            <w:pPr>
              <w:spacing w:after="40" w:before="40"/>
            </w:pPr>
            <w:r/>
            <w:r>
              <w:rPr>
                <w:rFonts w:ascii="Arial" w:hAnsi="Arial"/>
                <w:b w:val="0"/>
                <w:sz w:val="15"/>
              </w:rPr>
              <w:t>Paint removal, repointing, wood windows, cornice, and entry.</w:t>
            </w:r>
          </w:p>
        </w:tc>
      </w:tr>
      <w:tr>
        <w:tc>
          <w:tcPr>
            <w:tcW w:type="dxa" w:w="2808"/>
          </w:tcPr>
          <w:p>
            <w:pPr>
              <w:spacing w:after="40" w:before="40"/>
            </w:pPr>
            <w:r/>
            <w:r>
              <w:rPr>
                <w:rFonts w:ascii="Arial" w:hAnsi="Arial"/>
                <w:b w:val="0"/>
                <w:sz w:val="15"/>
              </w:rPr>
              <w:t>Commercial white-box / storefront per unit (1818, 1820)</w:t>
            </w:r>
          </w:p>
        </w:tc>
        <w:tc>
          <w:tcPr>
            <w:tcW w:type="dxa" w:w="1080"/>
          </w:tcPr>
          <w:p>
            <w:pPr>
              <w:spacing w:after="40" w:before="40"/>
              <w:jc w:val="right"/>
            </w:pPr>
            <w:r/>
            <w:r>
              <w:rPr>
                <w:rFonts w:ascii="Arial" w:hAnsi="Arial"/>
                <w:b w:val="0"/>
                <w:sz w:val="15"/>
              </w:rPr>
              <w:t>$45,000</w:t>
            </w:r>
          </w:p>
        </w:tc>
        <w:tc>
          <w:tcPr>
            <w:tcW w:type="dxa" w:w="5616"/>
          </w:tcPr>
          <w:p>
            <w:pPr>
              <w:spacing w:after="40" w:before="40"/>
            </w:pPr>
            <w:r/>
            <w:r>
              <w:rPr>
                <w:rFonts w:ascii="Arial" w:hAnsi="Arial"/>
                <w:b w:val="0"/>
                <w:sz w:val="15"/>
              </w:rPr>
              <w:t>The BRNI advance invoice for 1816's two units was $125k ($62.5k each, including façade). Vanilla-box scope.</w:t>
            </w:r>
          </w:p>
        </w:tc>
      </w:tr>
      <w:tr>
        <w:tc>
          <w:tcPr>
            <w:tcW w:type="dxa" w:w="2808"/>
          </w:tcPr>
          <w:p>
            <w:pPr>
              <w:spacing w:after="40" w:before="40"/>
            </w:pPr>
            <w:r/>
            <w:r>
              <w:rPr>
                <w:rFonts w:ascii="Arial" w:hAnsi="Arial"/>
                <w:b w:val="0"/>
                <w:sz w:val="15"/>
              </w:rPr>
              <w:t>Fire sprinkler + fire alarm per building (1818, 1820)</w:t>
            </w:r>
          </w:p>
        </w:tc>
        <w:tc>
          <w:tcPr>
            <w:tcW w:type="dxa" w:w="1080"/>
          </w:tcPr>
          <w:p>
            <w:pPr>
              <w:spacing w:after="40" w:before="40"/>
              <w:jc w:val="right"/>
            </w:pPr>
            <w:r/>
            <w:r>
              <w:rPr>
                <w:rFonts w:ascii="Arial" w:hAnsi="Arial"/>
                <w:b w:val="0"/>
                <w:sz w:val="15"/>
              </w:rPr>
              <w:t>$32,000</w:t>
            </w:r>
          </w:p>
        </w:tc>
        <w:tc>
          <w:tcPr>
            <w:tcW w:type="dxa" w:w="5616"/>
          </w:tcPr>
          <w:p>
            <w:pPr>
              <w:spacing w:after="40" w:before="40"/>
            </w:pPr>
            <w:r/>
            <w:r>
              <w:rPr>
                <w:rFonts w:ascii="Arial" w:hAnsi="Arial"/>
                <w:b w:val="0"/>
                <w:sz w:val="15"/>
              </w:rPr>
              <w:t>The Fuentes quote for 1816 was $19,025 for sprinklers only (2nd–4th floors). Fire alarm and backflow are added here.</w:t>
            </w:r>
          </w:p>
        </w:tc>
      </w:tr>
      <w:tr>
        <w:tc>
          <w:tcPr>
            <w:tcW w:type="dxa" w:w="2808"/>
          </w:tcPr>
          <w:p>
            <w:pPr>
              <w:spacing w:after="40" w:before="40"/>
            </w:pPr>
            <w:r/>
            <w:r>
              <w:rPr>
                <w:rFonts w:ascii="Arial" w:hAnsi="Arial"/>
                <w:b w:val="0"/>
                <w:sz w:val="15"/>
              </w:rPr>
              <w:t>Environmental abatement allowance (lead/asbestos) per building</w:t>
            </w:r>
          </w:p>
        </w:tc>
        <w:tc>
          <w:tcPr>
            <w:tcW w:type="dxa" w:w="1080"/>
          </w:tcPr>
          <w:p>
            <w:pPr>
              <w:spacing w:after="40" w:before="40"/>
              <w:jc w:val="right"/>
            </w:pPr>
            <w:r/>
            <w:r>
              <w:rPr>
                <w:rFonts w:ascii="Arial" w:hAnsi="Arial"/>
                <w:b w:val="0"/>
                <w:sz w:val="15"/>
              </w:rPr>
              <w:t>$25,000</w:t>
            </w:r>
          </w:p>
        </w:tc>
        <w:tc>
          <w:tcPr>
            <w:tcW w:type="dxa" w:w="5616"/>
          </w:tcPr>
          <w:p>
            <w:pPr>
              <w:spacing w:after="40" w:before="40"/>
            </w:pPr>
            <w:r/>
            <w:r>
              <w:rPr>
                <w:rFonts w:ascii="Arial" w:hAnsi="Arial"/>
                <w:b w:val="0"/>
                <w:sz w:val="15"/>
              </w:rPr>
              <w:t>Pre-1978 buildings; the BDC RFP flags possible environmental hazards.</w:t>
            </w:r>
          </w:p>
        </w:tc>
      </w:tr>
      <w:tr>
        <w:tc>
          <w:tcPr>
            <w:tcW w:type="dxa" w:w="2808"/>
          </w:tcPr>
          <w:p>
            <w:pPr>
              <w:spacing w:after="40" w:before="40"/>
            </w:pPr>
            <w:r/>
            <w:r>
              <w:rPr>
                <w:rFonts w:ascii="Arial" w:hAnsi="Arial"/>
                <w:b w:val="0"/>
                <w:sz w:val="15"/>
              </w:rPr>
              <w:t>Hard cost contingency — 1818 &amp; 1820</w:t>
            </w:r>
          </w:p>
        </w:tc>
        <w:tc>
          <w:tcPr>
            <w:tcW w:type="dxa" w:w="1080"/>
          </w:tcPr>
          <w:p>
            <w:pPr>
              <w:spacing w:after="40" w:before="40"/>
              <w:jc w:val="right"/>
            </w:pPr>
            <w:r/>
            <w:r>
              <w:rPr>
                <w:rFonts w:ascii="Arial" w:hAnsi="Arial"/>
                <w:b w:val="0"/>
                <w:sz w:val="15"/>
              </w:rPr>
              <w:t>12.50%</w:t>
            </w:r>
          </w:p>
        </w:tc>
        <w:tc>
          <w:tcPr>
            <w:tcW w:type="dxa" w:w="5616"/>
          </w:tcPr>
          <w:p>
            <w:pPr>
              <w:spacing w:after="40" w:before="40"/>
            </w:pPr>
            <w:r/>
            <w:r>
              <w:rPr>
                <w:rFonts w:ascii="Arial" w:hAnsi="Arial"/>
                <w:b w:val="0"/>
                <w:sz w:val="15"/>
              </w:rPr>
              <w:t>12.5% for an unopened historic gut rehab. The industry norm is 10–15% (research/02).</w:t>
            </w:r>
          </w:p>
        </w:tc>
      </w:tr>
      <w:tr>
        <w:tc>
          <w:tcPr>
            <w:tcW w:type="dxa" w:w="2808"/>
          </w:tcPr>
          <w:p>
            <w:pPr>
              <w:spacing w:after="40" w:before="40"/>
            </w:pPr>
            <w:r/>
            <w:r>
              <w:rPr>
                <w:rFonts w:ascii="Arial" w:hAnsi="Arial"/>
                <w:b w:val="0"/>
                <w:sz w:val="15"/>
              </w:rPr>
              <w:t>Hard cost contingency — 1816 (known remaining scope)</w:t>
            </w:r>
          </w:p>
        </w:tc>
        <w:tc>
          <w:tcPr>
            <w:tcW w:type="dxa" w:w="1080"/>
          </w:tcPr>
          <w:p>
            <w:pPr>
              <w:spacing w:after="40" w:before="40"/>
              <w:jc w:val="right"/>
            </w:pPr>
            <w:r/>
            <w:r>
              <w:rPr>
                <w:rFonts w:ascii="Arial" w:hAnsi="Arial"/>
                <w:b w:val="0"/>
                <w:sz w:val="15"/>
              </w:rPr>
              <w:t>10%</w:t>
            </w:r>
          </w:p>
        </w:tc>
        <w:tc>
          <w:tcPr>
            <w:tcW w:type="dxa" w:w="5616"/>
          </w:tcPr>
          <w:p>
            <w:pPr>
              <w:spacing w:after="40" w:before="40"/>
            </w:pPr>
            <w:r/>
            <w:r>
              <w:rPr>
                <w:rFonts w:ascii="Arial" w:hAnsi="Arial"/>
                <w:b w:val="0"/>
                <w:sz w:val="15"/>
              </w:rPr>
              <w:t>10% on remaining scope that is already bid or quoted.</w:t>
            </w:r>
          </w:p>
        </w:tc>
      </w:tr>
      <w:tr>
        <w:tc>
          <w:tcPr>
            <w:tcW w:type="dxa" w:w="2808"/>
          </w:tcPr>
          <w:p>
            <w:pPr>
              <w:spacing w:after="40" w:before="40"/>
            </w:pPr>
            <w:r/>
            <w:r>
              <w:rPr>
                <w:rFonts w:ascii="Arial" w:hAnsi="Arial"/>
                <w:b w:val="0"/>
                <w:sz w:val="15"/>
              </w:rPr>
              <w:t>Cost escalation to construction midpoint — 1818 &amp; 1820</w:t>
            </w:r>
          </w:p>
        </w:tc>
        <w:tc>
          <w:tcPr>
            <w:tcW w:type="dxa" w:w="1080"/>
          </w:tcPr>
          <w:p>
            <w:pPr>
              <w:spacing w:after="40" w:before="40"/>
              <w:jc w:val="right"/>
            </w:pPr>
            <w:r/>
            <w:r>
              <w:rPr>
                <w:rFonts w:ascii="Arial" w:hAnsi="Arial"/>
                <w:b w:val="0"/>
                <w:sz w:val="15"/>
              </w:rPr>
              <w:t>6%</w:t>
            </w:r>
          </w:p>
        </w:tc>
        <w:tc>
          <w:tcPr>
            <w:tcW w:type="dxa" w:w="5616"/>
          </w:tcPr>
          <w:p>
            <w:pPr>
              <w:spacing w:after="40" w:before="40"/>
            </w:pPr>
            <w:r/>
            <w:r>
              <w:rPr>
                <w:rFonts w:ascii="Arial" w:hAnsi="Arial"/>
                <w:b w:val="0"/>
                <w:sz w:val="15"/>
              </w:rPr>
              <w:t>About 4%/yr (RLB Q2-2026) over the ≈1.5 years to the construction midpoint (Q1 2028).</w:t>
            </w:r>
          </w:p>
        </w:tc>
      </w:tr>
      <w:tr>
        <w:tc>
          <w:tcPr>
            <w:tcW w:type="dxa" w:w="2808"/>
          </w:tcPr>
          <w:p>
            <w:pPr>
              <w:spacing w:after="40" w:before="40"/>
            </w:pPr>
            <w:r/>
            <w:r>
              <w:rPr>
                <w:rFonts w:ascii="Arial" w:hAnsi="Arial"/>
                <w:b w:val="0"/>
                <w:sz w:val="15"/>
              </w:rPr>
              <w:t>GC overhead &amp; profit (Tyjuan Amor LLC, related party)</w:t>
            </w:r>
          </w:p>
        </w:tc>
        <w:tc>
          <w:tcPr>
            <w:tcW w:type="dxa" w:w="1080"/>
          </w:tcPr>
          <w:p>
            <w:pPr>
              <w:spacing w:after="40" w:before="40"/>
              <w:jc w:val="right"/>
            </w:pPr>
            <w:r/>
            <w:r>
              <w:rPr>
                <w:rFonts w:ascii="Arial" w:hAnsi="Arial"/>
                <w:b w:val="0"/>
                <w:sz w:val="15"/>
              </w:rPr>
              <w:t>8%</w:t>
            </w:r>
          </w:p>
        </w:tc>
        <w:tc>
          <w:tcPr>
            <w:tcW w:type="dxa" w:w="5616"/>
          </w:tcPr>
          <w:p>
            <w:pPr>
              <w:spacing w:after="40" w:before="40"/>
            </w:pPr>
            <w:r/>
            <w:r>
              <w:rPr>
                <w:rFonts w:ascii="Arial" w:hAnsi="Arial"/>
                <w:b w:val="0"/>
                <w:sz w:val="15"/>
              </w:rPr>
              <w:t>Disclosed related-party fee. Below the 10–12% market norm, reflecting partial self-performance.</w:t>
            </w:r>
          </w:p>
        </w:tc>
      </w:tr>
      <w:tr>
        <w:tc>
          <w:tcPr>
            <w:tcW w:type="dxa" w:w="2808"/>
          </w:tcPr>
          <w:p>
            <w:pPr>
              <w:spacing w:after="40" w:before="40"/>
            </w:pPr>
            <w:r/>
            <w:r>
              <w:rPr>
                <w:rFonts w:ascii="Arial" w:hAnsi="Arial"/>
                <w:b w:val="0"/>
                <w:sz w:val="15"/>
              </w:rPr>
              <w:t>Architecture, engineering &amp; structural (% of hard)</w:t>
            </w:r>
          </w:p>
        </w:tc>
        <w:tc>
          <w:tcPr>
            <w:tcW w:type="dxa" w:w="1080"/>
          </w:tcPr>
          <w:p>
            <w:pPr>
              <w:spacing w:after="40" w:before="40"/>
              <w:jc w:val="right"/>
            </w:pPr>
            <w:r/>
            <w:r>
              <w:rPr>
                <w:rFonts w:ascii="Arial" w:hAnsi="Arial"/>
                <w:b w:val="0"/>
                <w:sz w:val="15"/>
              </w:rPr>
              <w:t>7%</w:t>
            </w:r>
          </w:p>
        </w:tc>
        <w:tc>
          <w:tcPr>
            <w:tcW w:type="dxa" w:w="5616"/>
          </w:tcPr>
          <w:p>
            <w:pPr>
              <w:spacing w:after="40" w:before="40"/>
            </w:pPr>
            <w:r/>
            <w:r>
              <w:rPr>
                <w:rFonts w:ascii="Arial" w:hAnsi="Arial"/>
                <w:b w:val="0"/>
                <w:sz w:val="15"/>
              </w:rPr>
              <w:t>Includes CHAP submissions and structural design for the 1818 addition. 1816 design cost $19k.</w:t>
            </w:r>
          </w:p>
        </w:tc>
      </w:tr>
      <w:tr>
        <w:tc>
          <w:tcPr>
            <w:tcW w:type="dxa" w:w="2808"/>
          </w:tcPr>
          <w:p>
            <w:pPr>
              <w:spacing w:after="40" w:before="40"/>
            </w:pPr>
            <w:r/>
            <w:r>
              <w:rPr>
                <w:rFonts w:ascii="Arial" w:hAnsi="Arial"/>
                <w:b w:val="0"/>
                <w:sz w:val="15"/>
              </w:rPr>
              <w:t>Permits, CHAP, zoning &amp; utility fees (% of hard)</w:t>
            </w:r>
          </w:p>
        </w:tc>
        <w:tc>
          <w:tcPr>
            <w:tcW w:type="dxa" w:w="1080"/>
          </w:tcPr>
          <w:p>
            <w:pPr>
              <w:spacing w:after="40" w:before="40"/>
              <w:jc w:val="right"/>
            </w:pPr>
            <w:r/>
            <w:r>
              <w:rPr>
                <w:rFonts w:ascii="Arial" w:hAnsi="Arial"/>
                <w:b w:val="0"/>
                <w:sz w:val="15"/>
              </w:rPr>
              <w:t>1.50%</w:t>
            </w:r>
          </w:p>
        </w:tc>
        <w:tc>
          <w:tcPr>
            <w:tcW w:type="dxa" w:w="5616"/>
          </w:tcPr>
          <w:p>
            <w:pPr>
              <w:spacing w:after="40" w:before="40"/>
            </w:pPr>
            <w:r/>
            <w:r>
              <w:rPr>
                <w:rFonts w:ascii="Arial" w:hAnsi="Arial"/>
                <w:b w:val="0"/>
                <w:sz w:val="15"/>
              </w:rPr>
              <w:t>The Jan-2026 Exhibit F carried $4,800 in permit fees for 1820 alone.</w:t>
            </w:r>
          </w:p>
        </w:tc>
      </w:tr>
      <w:tr>
        <w:tc>
          <w:tcPr>
            <w:tcW w:type="dxa" w:w="2808"/>
          </w:tcPr>
          <w:p>
            <w:pPr>
              <w:spacing w:after="40" w:before="40"/>
            </w:pPr>
            <w:r/>
            <w:r>
              <w:rPr>
                <w:rFonts w:ascii="Arial" w:hAnsi="Arial"/>
                <w:b w:val="0"/>
                <w:sz w:val="15"/>
              </w:rPr>
              <w:t>Legal, title, organizational &amp; LDA (% of hard)</w:t>
            </w:r>
          </w:p>
        </w:tc>
        <w:tc>
          <w:tcPr>
            <w:tcW w:type="dxa" w:w="1080"/>
          </w:tcPr>
          <w:p>
            <w:pPr>
              <w:spacing w:after="40" w:before="40"/>
              <w:jc w:val="right"/>
            </w:pPr>
            <w:r/>
            <w:r>
              <w:rPr>
                <w:rFonts w:ascii="Arial" w:hAnsi="Arial"/>
                <w:b w:val="0"/>
                <w:sz w:val="15"/>
              </w:rPr>
              <w:t>1%</w:t>
            </w:r>
          </w:p>
        </w:tc>
        <w:tc>
          <w:tcPr>
            <w:tcW w:type="dxa" w:w="5616"/>
          </w:tcPr>
          <w:p>
            <w:pPr>
              <w:spacing w:after="40" w:before="40"/>
            </w:pPr>
            <w:r/>
            <w:r>
              <w:rPr>
                <w:rFonts w:ascii="Arial" w:hAnsi="Arial"/>
                <w:b w:val="0"/>
                <w:sz w:val="15"/>
              </w:rPr>
              <w:t>—</w:t>
            </w:r>
          </w:p>
        </w:tc>
      </w:tr>
      <w:tr>
        <w:tc>
          <w:tcPr>
            <w:tcW w:type="dxa" w:w="2808"/>
          </w:tcPr>
          <w:p>
            <w:pPr>
              <w:spacing w:after="40" w:before="40"/>
            </w:pPr>
            <w:r/>
            <w:r>
              <w:rPr>
                <w:rFonts w:ascii="Arial" w:hAnsi="Arial"/>
                <w:b w:val="0"/>
                <w:sz w:val="15"/>
              </w:rPr>
              <w:t>Builder's risk &amp; GL during construction (% of hard)</w:t>
            </w:r>
          </w:p>
        </w:tc>
        <w:tc>
          <w:tcPr>
            <w:tcW w:type="dxa" w:w="1080"/>
          </w:tcPr>
          <w:p>
            <w:pPr>
              <w:spacing w:after="40" w:before="40"/>
              <w:jc w:val="right"/>
            </w:pPr>
            <w:r/>
            <w:r>
              <w:rPr>
                <w:rFonts w:ascii="Arial" w:hAnsi="Arial"/>
                <w:b w:val="0"/>
                <w:sz w:val="15"/>
              </w:rPr>
              <w:t>1.20%</w:t>
            </w:r>
          </w:p>
        </w:tc>
        <w:tc>
          <w:tcPr>
            <w:tcW w:type="dxa" w:w="5616"/>
          </w:tcPr>
          <w:p>
            <w:pPr>
              <w:spacing w:after="40" w:before="40"/>
            </w:pPr>
            <w:r/>
            <w:r>
              <w:rPr>
                <w:rFonts w:ascii="Arial" w:hAnsi="Arial"/>
                <w:b w:val="0"/>
                <w:sz w:val="15"/>
              </w:rPr>
              <w:t>—</w:t>
            </w:r>
          </w:p>
        </w:tc>
      </w:tr>
      <w:tr>
        <w:tc>
          <w:tcPr>
            <w:tcW w:type="dxa" w:w="2808"/>
          </w:tcPr>
          <w:p>
            <w:pPr>
              <w:spacing w:after="40" w:before="40"/>
            </w:pPr>
            <w:r/>
            <w:r>
              <w:rPr>
                <w:rFonts w:ascii="Arial" w:hAnsi="Arial"/>
                <w:b w:val="0"/>
                <w:sz w:val="15"/>
              </w:rPr>
              <w:t>Appraisal, Phase I ESA, survey, market study per building</w:t>
            </w:r>
          </w:p>
        </w:tc>
        <w:tc>
          <w:tcPr>
            <w:tcW w:type="dxa" w:w="1080"/>
          </w:tcPr>
          <w:p>
            <w:pPr>
              <w:spacing w:after="40" w:before="40"/>
              <w:jc w:val="right"/>
            </w:pPr>
            <w:r/>
            <w:r>
              <w:rPr>
                <w:rFonts w:ascii="Arial" w:hAnsi="Arial"/>
                <w:b w:val="0"/>
                <w:sz w:val="15"/>
              </w:rPr>
              <w:t>$12,000</w:t>
            </w:r>
          </w:p>
        </w:tc>
        <w:tc>
          <w:tcPr>
            <w:tcW w:type="dxa" w:w="5616"/>
          </w:tcPr>
          <w:p>
            <w:pPr>
              <w:spacing w:after="40" w:before="40"/>
            </w:pPr>
            <w:r/>
            <w:r>
              <w:rPr>
                <w:rFonts w:ascii="Arial" w:hAnsi="Arial"/>
                <w:b w:val="0"/>
                <w:sz w:val="15"/>
              </w:rPr>
              <w:t>Required for NIIF underwriting.</w:t>
            </w:r>
          </w:p>
        </w:tc>
      </w:tr>
      <w:tr>
        <w:tc>
          <w:tcPr>
            <w:tcW w:type="dxa" w:w="2808"/>
          </w:tcPr>
          <w:p>
            <w:pPr>
              <w:spacing w:after="40" w:before="40"/>
            </w:pPr>
            <w:r/>
            <w:r>
              <w:rPr>
                <w:rFonts w:ascii="Arial" w:hAnsi="Arial"/>
                <w:b w:val="0"/>
                <w:sz w:val="15"/>
              </w:rPr>
              <w:t>Marketing &amp; lease-up per unit</w:t>
            </w:r>
          </w:p>
        </w:tc>
        <w:tc>
          <w:tcPr>
            <w:tcW w:type="dxa" w:w="1080"/>
          </w:tcPr>
          <w:p>
            <w:pPr>
              <w:spacing w:after="40" w:before="40"/>
              <w:jc w:val="right"/>
            </w:pPr>
            <w:r/>
            <w:r>
              <w:rPr>
                <w:rFonts w:ascii="Arial" w:hAnsi="Arial"/>
                <w:b w:val="0"/>
                <w:sz w:val="15"/>
              </w:rPr>
              <w:t>$750</w:t>
            </w:r>
          </w:p>
        </w:tc>
        <w:tc>
          <w:tcPr>
            <w:tcW w:type="dxa" w:w="5616"/>
          </w:tcPr>
          <w:p>
            <w:pPr>
              <w:spacing w:after="40" w:before="40"/>
            </w:pPr>
            <w:r/>
            <w:r>
              <w:rPr>
                <w:rFonts w:ascii="Arial" w:hAnsi="Arial"/>
                <w:b w:val="0"/>
                <w:sz w:val="15"/>
              </w:rPr>
              <w:t>—</w:t>
            </w:r>
          </w:p>
        </w:tc>
      </w:tr>
      <w:tr>
        <w:tc>
          <w:tcPr>
            <w:tcW w:type="dxa" w:w="2808"/>
          </w:tcPr>
          <w:p>
            <w:pPr>
              <w:spacing w:after="40" w:before="40"/>
            </w:pPr>
            <w:r/>
            <w:r>
              <w:rPr>
                <w:rFonts w:ascii="Arial" w:hAnsi="Arial"/>
                <w:b w:val="0"/>
                <w:sz w:val="15"/>
              </w:rPr>
              <w:t>Soft cost contingency</w:t>
            </w:r>
          </w:p>
        </w:tc>
        <w:tc>
          <w:tcPr>
            <w:tcW w:type="dxa" w:w="1080"/>
          </w:tcPr>
          <w:p>
            <w:pPr>
              <w:spacing w:after="40" w:before="40"/>
              <w:jc w:val="right"/>
            </w:pPr>
            <w:r/>
            <w:r>
              <w:rPr>
                <w:rFonts w:ascii="Arial" w:hAnsi="Arial"/>
                <w:b w:val="0"/>
                <w:sz w:val="15"/>
              </w:rPr>
              <w:t>5%</w:t>
            </w:r>
          </w:p>
        </w:tc>
        <w:tc>
          <w:tcPr>
            <w:tcW w:type="dxa" w:w="5616"/>
          </w:tcPr>
          <w:p>
            <w:pPr>
              <w:spacing w:after="40" w:before="40"/>
            </w:pPr>
            <w:r/>
            <w:r>
              <w:rPr>
                <w:rFonts w:ascii="Arial" w:hAnsi="Arial"/>
                <w:b w:val="0"/>
                <w:sz w:val="15"/>
              </w:rPr>
              <w:t>—</w:t>
            </w:r>
          </w:p>
        </w:tc>
      </w:tr>
      <w:tr>
        <w:tc>
          <w:tcPr>
            <w:tcW w:type="dxa" w:w="2808"/>
          </w:tcPr>
          <w:p>
            <w:pPr>
              <w:spacing w:after="40" w:before="40"/>
            </w:pPr>
            <w:r/>
            <w:r>
              <w:rPr>
                <w:rFonts w:ascii="Arial" w:hAnsi="Arial"/>
                <w:b w:val="0"/>
                <w:sz w:val="15"/>
              </w:rPr>
              <w:t>Developer fee (% of total development cost excl. acquisition)</w:t>
            </w:r>
          </w:p>
        </w:tc>
        <w:tc>
          <w:tcPr>
            <w:tcW w:type="dxa" w:w="1080"/>
          </w:tcPr>
          <w:p>
            <w:pPr>
              <w:spacing w:after="40" w:before="40"/>
              <w:jc w:val="right"/>
            </w:pPr>
            <w:r/>
            <w:r>
              <w:rPr>
                <w:rFonts w:ascii="Arial" w:hAnsi="Arial"/>
                <w:b w:val="0"/>
                <w:sz w:val="15"/>
              </w:rPr>
              <w:t>8%</w:t>
            </w:r>
          </w:p>
        </w:tc>
        <w:tc>
          <w:tcPr>
            <w:tcW w:type="dxa" w:w="5616"/>
          </w:tcPr>
          <w:p>
            <w:pPr>
              <w:spacing w:after="40" w:before="40"/>
            </w:pPr>
            <w:r/>
            <w:r>
              <w:rPr>
                <w:rFonts w:ascii="Arial" w:hAnsi="Arial"/>
                <w:b w:val="0"/>
                <w:sz w:val="15"/>
              </w:rPr>
              <w:t>Below the typical 10–15% cap for CDFI and state-funded deals. At least 50% is deferred to fill the gap.</w:t>
            </w:r>
          </w:p>
        </w:tc>
      </w:tr>
      <w:tr>
        <w:tc>
          <w:tcPr>
            <w:tcW w:type="dxa" w:w="2808"/>
          </w:tcPr>
          <w:p>
            <w:pPr>
              <w:spacing w:after="40" w:before="40"/>
            </w:pPr>
            <w:r/>
            <w:r>
              <w:rPr>
                <w:rFonts w:ascii="Arial" w:hAnsi="Arial"/>
                <w:b w:val="0"/>
                <w:sz w:val="15"/>
              </w:rPr>
              <w:t>Share of developer fee deferred</w:t>
            </w:r>
          </w:p>
        </w:tc>
        <w:tc>
          <w:tcPr>
            <w:tcW w:type="dxa" w:w="1080"/>
          </w:tcPr>
          <w:p>
            <w:pPr>
              <w:spacing w:after="40" w:before="40"/>
              <w:jc w:val="right"/>
            </w:pPr>
            <w:r/>
            <w:r>
              <w:rPr>
                <w:rFonts w:ascii="Arial" w:hAnsi="Arial"/>
                <w:b w:val="0"/>
                <w:sz w:val="15"/>
              </w:rPr>
              <w:t>50%</w:t>
            </w:r>
          </w:p>
        </w:tc>
        <w:tc>
          <w:tcPr>
            <w:tcW w:type="dxa" w:w="5616"/>
          </w:tcPr>
          <w:p>
            <w:pPr>
              <w:spacing w:after="40" w:before="40"/>
            </w:pPr>
            <w:r/>
            <w:r>
              <w:rPr>
                <w:rFonts w:ascii="Arial" w:hAnsi="Arial"/>
                <w:b w:val="0"/>
                <w:sz w:val="15"/>
              </w:rPr>
              <w:t>The deferred portion is paid from cash flow and shown as a source.</w:t>
            </w:r>
          </w:p>
        </w:tc>
      </w:tr>
      <w:tr>
        <w:tc>
          <w:tcPr>
            <w:tcW w:type="dxa" w:w="2808"/>
          </w:tcPr>
          <w:p>
            <w:pPr>
              <w:spacing w:after="40" w:before="40"/>
            </w:pPr>
            <w:r/>
            <w:r>
              <w:rPr>
                <w:rFonts w:ascii="Arial" w:hAnsi="Arial"/>
                <w:b w:val="0"/>
                <w:sz w:val="15"/>
              </w:rPr>
              <w:t>Operating reserve (months of OpEx + debt service)</w:t>
            </w:r>
          </w:p>
        </w:tc>
        <w:tc>
          <w:tcPr>
            <w:tcW w:type="dxa" w:w="1080"/>
          </w:tcPr>
          <w:p>
            <w:pPr>
              <w:spacing w:after="40" w:before="40"/>
              <w:jc w:val="right"/>
            </w:pPr>
            <w:r/>
            <w:r>
              <w:rPr>
                <w:rFonts w:ascii="Arial" w:hAnsi="Arial"/>
                <w:b w:val="0"/>
                <w:sz w:val="15"/>
              </w:rPr>
              <w:t>6</w:t>
            </w:r>
          </w:p>
        </w:tc>
        <w:tc>
          <w:tcPr>
            <w:tcW w:type="dxa" w:w="5616"/>
          </w:tcPr>
          <w:p>
            <w:pPr>
              <w:spacing w:after="40" w:before="40"/>
            </w:pPr>
            <w:r/>
            <w:r>
              <w:rPr>
                <w:rFonts w:ascii="Arial" w:hAnsi="Arial"/>
                <w:b w:val="0"/>
                <w:sz w:val="15"/>
              </w:rPr>
              <w:t>NIIF and CDFI standard.</w:t>
            </w:r>
          </w:p>
        </w:tc>
      </w:tr>
      <w:tr>
        <w:tc>
          <w:tcPr>
            <w:tcW w:type="dxa" w:w="2808"/>
          </w:tcPr>
          <w:p>
            <w:pPr>
              <w:spacing w:after="40" w:before="40"/>
            </w:pPr>
            <w:r/>
            <w:r>
              <w:rPr>
                <w:rFonts w:ascii="Arial" w:hAnsi="Arial"/>
                <w:b w:val="0"/>
                <w:sz w:val="15"/>
              </w:rPr>
              <w:t>▸ NIIF interest rate (construction &amp; perm)</w:t>
            </w:r>
          </w:p>
        </w:tc>
        <w:tc>
          <w:tcPr>
            <w:tcW w:type="dxa" w:w="1080"/>
          </w:tcPr>
          <w:p>
            <w:pPr>
              <w:spacing w:after="40" w:before="40"/>
              <w:jc w:val="right"/>
            </w:pPr>
            <w:r/>
            <w:r>
              <w:rPr>
                <w:rFonts w:ascii="Arial" w:hAnsi="Arial"/>
                <w:b w:val="0"/>
                <w:sz w:val="15"/>
              </w:rPr>
              <w:t>5%</w:t>
            </w:r>
          </w:p>
        </w:tc>
        <w:tc>
          <w:tcPr>
            <w:tcW w:type="dxa" w:w="5616"/>
          </w:tcPr>
          <w:p>
            <w:pPr>
              <w:spacing w:after="40" w:before="40"/>
            </w:pPr>
            <w:r/>
            <w:r>
              <w:rPr>
                <w:rFonts w:ascii="Arial" w:hAnsi="Arial"/>
                <w:b w:val="0"/>
                <w:sz w:val="15"/>
              </w:rPr>
              <w:t>NIIF publishes 5.0% fixed for real estate loans up to $3M (baltimoreniif.org/financing/real-estate-loans). Subject to NIIF underwriting.</w:t>
            </w:r>
          </w:p>
        </w:tc>
      </w:tr>
      <w:tr>
        <w:tc>
          <w:tcPr>
            <w:tcW w:type="dxa" w:w="2808"/>
          </w:tcPr>
          <w:p>
            <w:pPr>
              <w:spacing w:after="40" w:before="40"/>
            </w:pPr>
            <w:r/>
            <w:r>
              <w:rPr>
                <w:rFonts w:ascii="Arial" w:hAnsi="Arial"/>
                <w:b w:val="0"/>
                <w:sz w:val="15"/>
              </w:rPr>
              <w:t>NIIF amortization (years)</w:t>
            </w:r>
          </w:p>
        </w:tc>
        <w:tc>
          <w:tcPr>
            <w:tcW w:type="dxa" w:w="1080"/>
          </w:tcPr>
          <w:p>
            <w:pPr>
              <w:spacing w:after="40" w:before="40"/>
              <w:jc w:val="right"/>
            </w:pPr>
            <w:r/>
            <w:r>
              <w:rPr>
                <w:rFonts w:ascii="Arial" w:hAnsi="Arial"/>
                <w:b w:val="0"/>
                <w:sz w:val="15"/>
              </w:rPr>
              <w:t>25</w:t>
            </w:r>
          </w:p>
        </w:tc>
        <w:tc>
          <w:tcPr>
            <w:tcW w:type="dxa" w:w="5616"/>
          </w:tcPr>
          <w:p>
            <w:pPr>
              <w:spacing w:after="40" w:before="40"/>
            </w:pPr>
            <w:r/>
            <w:r>
              <w:rPr>
                <w:rFonts w:ascii="Arial" w:hAnsi="Arial"/>
                <w:b w:val="0"/>
                <w:sz w:val="15"/>
              </w:rPr>
              <w:t>—</w:t>
            </w:r>
          </w:p>
        </w:tc>
      </w:tr>
      <w:tr>
        <w:tc>
          <w:tcPr>
            <w:tcW w:type="dxa" w:w="2808"/>
          </w:tcPr>
          <w:p>
            <w:pPr>
              <w:spacing w:after="40" w:before="40"/>
            </w:pPr>
            <w:r/>
            <w:r>
              <w:rPr>
                <w:rFonts w:ascii="Arial" w:hAnsi="Arial"/>
                <w:b w:val="0"/>
                <w:sz w:val="15"/>
              </w:rPr>
              <w:t>NIIF permanent term (years)</w:t>
            </w:r>
          </w:p>
        </w:tc>
        <w:tc>
          <w:tcPr>
            <w:tcW w:type="dxa" w:w="1080"/>
          </w:tcPr>
          <w:p>
            <w:pPr>
              <w:spacing w:after="40" w:before="40"/>
              <w:jc w:val="right"/>
            </w:pPr>
            <w:r/>
            <w:r>
              <w:rPr>
                <w:rFonts w:ascii="Arial" w:hAnsi="Arial"/>
                <w:b w:val="0"/>
                <w:sz w:val="15"/>
              </w:rPr>
              <w:t>7</w:t>
            </w:r>
          </w:p>
        </w:tc>
        <w:tc>
          <w:tcPr>
            <w:tcW w:type="dxa" w:w="5616"/>
          </w:tcPr>
          <w:p>
            <w:pPr>
              <w:spacing w:after="40" w:before="40"/>
            </w:pPr>
            <w:r/>
            <w:r>
              <w:rPr>
                <w:rFonts w:ascii="Arial" w:hAnsi="Arial"/>
                <w:b w:val="0"/>
                <w:sz w:val="15"/>
              </w:rPr>
              <w:t>NIIF term loans run up to 7 years. The pro forma assumes a refinance or extension at maturity on similar terms.</w:t>
            </w:r>
          </w:p>
        </w:tc>
      </w:tr>
      <w:tr>
        <w:tc>
          <w:tcPr>
            <w:tcW w:type="dxa" w:w="2808"/>
          </w:tcPr>
          <w:p>
            <w:pPr>
              <w:spacing w:after="40" w:before="40"/>
            </w:pPr>
            <w:r/>
            <w:r>
              <w:rPr>
                <w:rFonts w:ascii="Arial" w:hAnsi="Arial"/>
                <w:b w:val="0"/>
                <w:sz w:val="15"/>
              </w:rPr>
              <w:t>Construction interest-only period (months)</w:t>
            </w:r>
          </w:p>
        </w:tc>
        <w:tc>
          <w:tcPr>
            <w:tcW w:type="dxa" w:w="1080"/>
          </w:tcPr>
          <w:p>
            <w:pPr>
              <w:spacing w:after="40" w:before="40"/>
              <w:jc w:val="right"/>
            </w:pPr>
            <w:r/>
            <w:r>
              <w:rPr>
                <w:rFonts w:ascii="Arial" w:hAnsi="Arial"/>
                <w:b w:val="0"/>
                <w:sz w:val="15"/>
              </w:rPr>
              <w:t>18</w:t>
            </w:r>
          </w:p>
        </w:tc>
        <w:tc>
          <w:tcPr>
            <w:tcW w:type="dxa" w:w="5616"/>
          </w:tcPr>
          <w:p>
            <w:pPr>
              <w:spacing w:after="40" w:before="40"/>
            </w:pPr>
            <w:r/>
            <w:r>
              <w:rPr>
                <w:rFonts w:ascii="Arial" w:hAnsi="Arial"/>
                <w:b w:val="0"/>
                <w:sz w:val="15"/>
              </w:rPr>
              <w:t>NIIF allows 18–24 months of IO. 18 months matches the construction schedule.</w:t>
            </w:r>
          </w:p>
        </w:tc>
      </w:tr>
      <w:tr>
        <w:tc>
          <w:tcPr>
            <w:tcW w:type="dxa" w:w="2808"/>
          </w:tcPr>
          <w:p>
            <w:pPr>
              <w:spacing w:after="40" w:before="40"/>
            </w:pPr>
            <w:r/>
            <w:r>
              <w:rPr>
                <w:rFonts w:ascii="Arial" w:hAnsi="Arial"/>
                <w:b w:val="0"/>
                <w:sz w:val="15"/>
              </w:rPr>
              <w:t>Average outstanding balance during construction</w:t>
            </w:r>
          </w:p>
        </w:tc>
        <w:tc>
          <w:tcPr>
            <w:tcW w:type="dxa" w:w="1080"/>
          </w:tcPr>
          <w:p>
            <w:pPr>
              <w:spacing w:after="40" w:before="40"/>
              <w:jc w:val="right"/>
            </w:pPr>
            <w:r/>
            <w:r>
              <w:rPr>
                <w:rFonts w:ascii="Arial" w:hAnsi="Arial"/>
                <w:b w:val="0"/>
                <w:sz w:val="15"/>
              </w:rPr>
              <w:t>55%</w:t>
            </w:r>
          </w:p>
        </w:tc>
        <w:tc>
          <w:tcPr>
            <w:tcW w:type="dxa" w:w="5616"/>
          </w:tcPr>
          <w:p>
            <w:pPr>
              <w:spacing w:after="40" w:before="40"/>
            </w:pPr>
            <w:r/>
            <w:r>
              <w:rPr>
                <w:rFonts w:ascii="Arial" w:hAnsi="Arial"/>
                <w:b w:val="0"/>
                <w:sz w:val="15"/>
              </w:rPr>
              <w:t>Standard draw curve.</w:t>
            </w:r>
          </w:p>
        </w:tc>
      </w:tr>
      <w:tr>
        <w:tc>
          <w:tcPr>
            <w:tcW w:type="dxa" w:w="2808"/>
          </w:tcPr>
          <w:p>
            <w:pPr>
              <w:spacing w:after="40" w:before="40"/>
            </w:pPr>
            <w:r/>
            <w:r>
              <w:rPr>
                <w:rFonts w:ascii="Arial" w:hAnsi="Arial"/>
                <w:b w:val="0"/>
                <w:sz w:val="15"/>
              </w:rPr>
              <w:t>NIIF origination fee</w:t>
            </w:r>
          </w:p>
        </w:tc>
        <w:tc>
          <w:tcPr>
            <w:tcW w:type="dxa" w:w="1080"/>
          </w:tcPr>
          <w:p>
            <w:pPr>
              <w:spacing w:after="40" w:before="40"/>
              <w:jc w:val="right"/>
            </w:pPr>
            <w:r/>
            <w:r>
              <w:rPr>
                <w:rFonts w:ascii="Arial" w:hAnsi="Arial"/>
                <w:b w:val="0"/>
                <w:sz w:val="15"/>
              </w:rPr>
              <w:t>1.50%</w:t>
            </w:r>
          </w:p>
        </w:tc>
        <w:tc>
          <w:tcPr>
            <w:tcW w:type="dxa" w:w="5616"/>
          </w:tcPr>
          <w:p>
            <w:pPr>
              <w:spacing w:after="40" w:before="40"/>
            </w:pPr>
            <w:r/>
            <w:r>
              <w:rPr>
                <w:rFonts w:ascii="Arial" w:hAnsi="Arial"/>
                <w:b w:val="0"/>
                <w:sz w:val="15"/>
              </w:rPr>
              <w:t>NIIF charges up to 1.5%.</w:t>
            </w:r>
          </w:p>
        </w:tc>
      </w:tr>
      <w:tr>
        <w:tc>
          <w:tcPr>
            <w:tcW w:type="dxa" w:w="2808"/>
          </w:tcPr>
          <w:p>
            <w:pPr>
              <w:spacing w:after="40" w:before="40"/>
            </w:pPr>
            <w:r/>
            <w:r>
              <w:rPr>
                <w:rFonts w:ascii="Arial" w:hAnsi="Arial"/>
                <w:b w:val="0"/>
                <w:sz w:val="15"/>
              </w:rPr>
              <w:t>NIIF max loan-to-cost</w:t>
            </w:r>
          </w:p>
        </w:tc>
        <w:tc>
          <w:tcPr>
            <w:tcW w:type="dxa" w:w="1080"/>
          </w:tcPr>
          <w:p>
            <w:pPr>
              <w:spacing w:after="40" w:before="40"/>
              <w:jc w:val="right"/>
            </w:pPr>
            <w:r/>
            <w:r>
              <w:rPr>
                <w:rFonts w:ascii="Arial" w:hAnsi="Arial"/>
                <w:b w:val="0"/>
                <w:sz w:val="15"/>
              </w:rPr>
              <w:t>80%</w:t>
            </w:r>
          </w:p>
        </w:tc>
        <w:tc>
          <w:tcPr>
            <w:tcW w:type="dxa" w:w="5616"/>
          </w:tcPr>
          <w:p>
            <w:pPr>
              <w:spacing w:after="40" w:before="40"/>
            </w:pPr>
            <w:r/>
            <w:r>
              <w:rPr>
                <w:rFonts w:ascii="Arial" w:hAnsi="Arial"/>
                <w:b w:val="0"/>
                <w:sz w:val="15"/>
              </w:rPr>
              <w:t>Typical CDFI maximum (see research/04).</w:t>
            </w:r>
          </w:p>
        </w:tc>
      </w:tr>
      <w:tr>
        <w:tc>
          <w:tcPr>
            <w:tcW w:type="dxa" w:w="2808"/>
          </w:tcPr>
          <w:p>
            <w:pPr>
              <w:spacing w:after="40" w:before="40"/>
            </w:pPr>
            <w:r/>
            <w:r>
              <w:rPr>
                <w:rFonts w:ascii="Arial" w:hAnsi="Arial"/>
                <w:b w:val="0"/>
                <w:sz w:val="15"/>
              </w:rPr>
              <w:t>NIIF max loan-to-value (as-completed)</w:t>
            </w:r>
          </w:p>
        </w:tc>
        <w:tc>
          <w:tcPr>
            <w:tcW w:type="dxa" w:w="1080"/>
          </w:tcPr>
          <w:p>
            <w:pPr>
              <w:spacing w:after="40" w:before="40"/>
              <w:jc w:val="right"/>
            </w:pPr>
            <w:r/>
            <w:r>
              <w:rPr>
                <w:rFonts w:ascii="Arial" w:hAnsi="Arial"/>
                <w:b w:val="0"/>
                <w:sz w:val="15"/>
              </w:rPr>
              <w:t>80%</w:t>
            </w:r>
          </w:p>
        </w:tc>
        <w:tc>
          <w:tcPr>
            <w:tcW w:type="dxa" w:w="5616"/>
          </w:tcPr>
          <w:p>
            <w:pPr>
              <w:spacing w:after="40" w:before="40"/>
            </w:pPr>
            <w:r/>
            <w:r>
              <w:rPr>
                <w:rFonts w:ascii="Arial" w:hAnsi="Arial"/>
                <w:b w:val="0"/>
                <w:sz w:val="15"/>
              </w:rPr>
              <w:t>Construction loans: ≤80% of as-completed value. Term loans: ≤95% of as-stabilized value.</w:t>
            </w:r>
          </w:p>
        </w:tc>
      </w:tr>
      <w:tr>
        <w:tc>
          <w:tcPr>
            <w:tcW w:type="dxa" w:w="2808"/>
          </w:tcPr>
          <w:p>
            <w:pPr>
              <w:spacing w:after="40" w:before="40"/>
            </w:pPr>
            <w:r/>
            <w:r>
              <w:rPr>
                <w:rFonts w:ascii="Arial" w:hAnsi="Arial"/>
                <w:b w:val="0"/>
                <w:sz w:val="15"/>
              </w:rPr>
              <w:t>NIIF maximum loan size</w:t>
            </w:r>
          </w:p>
        </w:tc>
        <w:tc>
          <w:tcPr>
            <w:tcW w:type="dxa" w:w="1080"/>
          </w:tcPr>
          <w:p>
            <w:pPr>
              <w:spacing w:after="40" w:before="40"/>
              <w:jc w:val="right"/>
            </w:pPr>
            <w:r/>
            <w:r>
              <w:rPr>
                <w:rFonts w:ascii="Arial" w:hAnsi="Arial"/>
                <w:b w:val="0"/>
                <w:sz w:val="15"/>
              </w:rPr>
              <w:t>$3,000,000</w:t>
            </w:r>
          </w:p>
        </w:tc>
        <w:tc>
          <w:tcPr>
            <w:tcW w:type="dxa" w:w="5616"/>
          </w:tcPr>
          <w:p>
            <w:pPr>
              <w:spacing w:after="40" w:before="40"/>
            </w:pPr>
            <w:r/>
            <w:r>
              <w:rPr>
                <w:rFonts w:ascii="Arial" w:hAnsi="Arial"/>
                <w:b w:val="0"/>
                <w:sz w:val="15"/>
              </w:rPr>
              <w:t>NIIF real estate loans go up to $3M.</w:t>
            </w:r>
          </w:p>
        </w:tc>
      </w:tr>
      <w:tr>
        <w:tc>
          <w:tcPr>
            <w:tcW w:type="dxa" w:w="2808"/>
          </w:tcPr>
          <w:p>
            <w:pPr>
              <w:spacing w:after="40" w:before="40"/>
            </w:pPr>
            <w:r/>
            <w:r>
              <w:rPr>
                <w:rFonts w:ascii="Arial" w:hAnsi="Arial"/>
                <w:b w:val="0"/>
                <w:sz w:val="15"/>
              </w:rPr>
              <w:t>Size NIIF loan on market (underwriting) rents? (1 = yes)</w:t>
            </w:r>
          </w:p>
        </w:tc>
        <w:tc>
          <w:tcPr>
            <w:tcW w:type="dxa" w:w="1080"/>
          </w:tcPr>
          <w:p>
            <w:pPr>
              <w:spacing w:after="40" w:before="40"/>
              <w:jc w:val="right"/>
            </w:pPr>
            <w:r/>
            <w:r>
              <w:rPr>
                <w:rFonts w:ascii="Arial" w:hAnsi="Arial"/>
                <w:b w:val="0"/>
                <w:sz w:val="15"/>
              </w:rPr>
              <w:t>1</w:t>
            </w:r>
          </w:p>
        </w:tc>
        <w:tc>
          <w:tcPr>
            <w:tcW w:type="dxa" w:w="5616"/>
          </w:tcPr>
          <w:p>
            <w:pPr>
              <w:spacing w:after="40" w:before="40"/>
            </w:pPr>
            <w:r/>
            <w:r>
              <w:rPr>
                <w:rFonts w:ascii="Arial" w:hAnsi="Arial"/>
                <w:b w:val="0"/>
                <w:sz w:val="15"/>
              </w:rPr>
              <w:t>1 = conservative: the loan is sized on comparable-supported rents (research/02), not on target rents.</w:t>
            </w:r>
          </w:p>
        </w:tc>
      </w:tr>
      <w:tr>
        <w:tc>
          <w:tcPr>
            <w:tcW w:type="dxa" w:w="2808"/>
          </w:tcPr>
          <w:p>
            <w:pPr>
              <w:spacing w:after="40" w:before="40"/>
            </w:pPr>
            <w:r/>
            <w:r>
              <w:rPr>
                <w:rFonts w:ascii="Arial" w:hAnsi="Arial"/>
                <w:b w:val="0"/>
                <w:sz w:val="15"/>
              </w:rPr>
              <w:t>Minimum DSCR used to size the NIIF loan</w:t>
            </w:r>
          </w:p>
        </w:tc>
        <w:tc>
          <w:tcPr>
            <w:tcW w:type="dxa" w:w="1080"/>
          </w:tcPr>
          <w:p>
            <w:pPr>
              <w:spacing w:after="40" w:before="40"/>
              <w:jc w:val="right"/>
            </w:pPr>
            <w:r/>
            <w:r>
              <w:rPr>
                <w:rFonts w:ascii="Arial" w:hAnsi="Arial"/>
                <w:b w:val="0"/>
                <w:sz w:val="15"/>
              </w:rPr>
              <w:t>1.25x</w:t>
            </w:r>
          </w:p>
        </w:tc>
        <w:tc>
          <w:tcPr>
            <w:tcW w:type="dxa" w:w="5616"/>
          </w:tcPr>
          <w:p>
            <w:pPr>
              <w:spacing w:after="40" w:before="40"/>
            </w:pPr>
            <w:r/>
            <w:r>
              <w:rPr>
                <w:rFonts w:ascii="Arial" w:hAnsi="Arial"/>
                <w:b w:val="0"/>
                <w:sz w:val="15"/>
              </w:rPr>
              <w:t>1.25x at market rents. CDFI and commercial norm is 1.20–1.25x; MD DHCD floor is 1.15x (research/04). Sizing at 1.25x keeps the NIIF construction LTV near the recommended 75% cushion.</w:t>
            </w:r>
          </w:p>
        </w:tc>
      </w:tr>
      <w:tr>
        <w:tc>
          <w:tcPr>
            <w:tcW w:type="dxa" w:w="2808"/>
          </w:tcPr>
          <w:p>
            <w:pPr>
              <w:spacing w:after="40" w:before="40"/>
            </w:pPr>
            <w:r/>
            <w:r>
              <w:rPr>
                <w:rFonts w:ascii="Arial" w:hAnsi="Arial"/>
                <w:b w:val="0"/>
                <w:sz w:val="15"/>
              </w:rPr>
              <w:t>1816 permanent loan rate</w:t>
            </w:r>
          </w:p>
        </w:tc>
        <w:tc>
          <w:tcPr>
            <w:tcW w:type="dxa" w:w="1080"/>
          </w:tcPr>
          <w:p>
            <w:pPr>
              <w:spacing w:after="40" w:before="40"/>
              <w:jc w:val="right"/>
            </w:pPr>
            <w:r/>
            <w:r>
              <w:rPr>
                <w:rFonts w:ascii="Arial" w:hAnsi="Arial"/>
                <w:b w:val="0"/>
                <w:sz w:val="15"/>
              </w:rPr>
              <w:t>7.25%</w:t>
            </w:r>
          </w:p>
        </w:tc>
        <w:tc>
          <w:tcPr>
            <w:tcW w:type="dxa" w:w="5616"/>
          </w:tcPr>
          <w:p>
            <w:pPr>
              <w:spacing w:after="40" w:before="40"/>
            </w:pPr>
            <w:r/>
            <w:r>
              <w:rPr>
                <w:rFonts w:ascii="Arial" w:hAnsi="Arial"/>
                <w:b w:val="0"/>
                <w:sz w:val="15"/>
              </w:rPr>
              <w:t>Bank or CDFI permanent debt is ≈7.0–8.0% (10-yr Treasury 5.02% on 9/16/26 + 200–300 bp). If NIIF participates at 5%, coverage improves (see Sensitivity).</w:t>
            </w:r>
          </w:p>
        </w:tc>
      </w:tr>
      <w:tr>
        <w:tc>
          <w:tcPr>
            <w:tcW w:type="dxa" w:w="2808"/>
          </w:tcPr>
          <w:p>
            <w:pPr>
              <w:spacing w:after="40" w:before="40"/>
            </w:pPr>
            <w:r/>
            <w:r>
              <w:rPr>
                <w:rFonts w:ascii="Arial" w:hAnsi="Arial"/>
                <w:b w:val="0"/>
                <w:sz w:val="15"/>
              </w:rPr>
              <w:t>1816 permanent loan amortization (years)</w:t>
            </w:r>
          </w:p>
        </w:tc>
        <w:tc>
          <w:tcPr>
            <w:tcW w:type="dxa" w:w="1080"/>
          </w:tcPr>
          <w:p>
            <w:pPr>
              <w:spacing w:after="40" w:before="40"/>
              <w:jc w:val="right"/>
            </w:pPr>
            <w:r/>
            <w:r>
              <w:rPr>
                <w:rFonts w:ascii="Arial" w:hAnsi="Arial"/>
                <w:b w:val="0"/>
                <w:sz w:val="15"/>
              </w:rPr>
              <w:t>25</w:t>
            </w:r>
          </w:p>
        </w:tc>
        <w:tc>
          <w:tcPr>
            <w:tcW w:type="dxa" w:w="5616"/>
          </w:tcPr>
          <w:p>
            <w:pPr>
              <w:spacing w:after="40" w:before="40"/>
            </w:pPr>
            <w:r/>
            <w:r>
              <w:rPr>
                <w:rFonts w:ascii="Arial" w:hAnsi="Arial"/>
                <w:b w:val="0"/>
                <w:sz w:val="15"/>
              </w:rPr>
              <w:t>—</w:t>
            </w:r>
          </w:p>
        </w:tc>
      </w:tr>
      <w:tr>
        <w:tc>
          <w:tcPr>
            <w:tcW w:type="dxa" w:w="2808"/>
          </w:tcPr>
          <w:p>
            <w:pPr>
              <w:spacing w:after="40" w:before="40"/>
            </w:pPr>
            <w:r/>
            <w:r>
              <w:rPr>
                <w:rFonts w:ascii="Arial" w:hAnsi="Arial"/>
                <w:b w:val="0"/>
                <w:sz w:val="15"/>
              </w:rPr>
              <w:t>1816 hard-money payoff (Nextres/FCI)</w:t>
            </w:r>
          </w:p>
        </w:tc>
        <w:tc>
          <w:tcPr>
            <w:tcW w:type="dxa" w:w="1080"/>
          </w:tcPr>
          <w:p>
            <w:pPr>
              <w:spacing w:after="40" w:before="40"/>
              <w:jc w:val="right"/>
            </w:pPr>
            <w:r/>
            <w:r>
              <w:rPr>
                <w:rFonts w:ascii="Arial" w:hAnsi="Arial"/>
                <w:b w:val="0"/>
                <w:sz w:val="15"/>
              </w:rPr>
              <w:t>$547,000</w:t>
            </w:r>
          </w:p>
        </w:tc>
        <w:tc>
          <w:tcPr>
            <w:tcW w:type="dxa" w:w="5616"/>
          </w:tcPr>
          <w:p>
            <w:pPr>
              <w:spacing w:after="40" w:before="40"/>
            </w:pPr>
            <w:r/>
            <w:r>
              <w:rPr>
                <w:rFonts w:ascii="Arial" w:hAnsi="Arial"/>
                <w:b w:val="0"/>
                <w:sz w:val="15"/>
              </w:rPr>
              <w:t>Principal $527,490 + loan charges $16,502 + late charges $648 + deferred interest $2,198, as of Feb 2026.</w:t>
            </w:r>
          </w:p>
        </w:tc>
      </w:tr>
      <w:tr>
        <w:tc>
          <w:tcPr>
            <w:tcW w:type="dxa" w:w="2808"/>
          </w:tcPr>
          <w:p>
            <w:pPr>
              <w:spacing w:after="40" w:before="40"/>
            </w:pPr>
            <w:r/>
            <w:r>
              <w:rPr>
                <w:rFonts w:ascii="Arial" w:hAnsi="Arial"/>
                <w:b w:val="0"/>
                <w:sz w:val="15"/>
              </w:rPr>
              <w:t>Hard-money bridge rate (last resort)</w:t>
            </w:r>
          </w:p>
        </w:tc>
        <w:tc>
          <w:tcPr>
            <w:tcW w:type="dxa" w:w="1080"/>
          </w:tcPr>
          <w:p>
            <w:pPr>
              <w:spacing w:after="40" w:before="40"/>
              <w:jc w:val="right"/>
            </w:pPr>
            <w:r/>
            <w:r>
              <w:rPr>
                <w:rFonts w:ascii="Arial" w:hAnsi="Arial"/>
                <w:b w:val="0"/>
                <w:sz w:val="15"/>
              </w:rPr>
              <w:t>12%</w:t>
            </w:r>
          </w:p>
        </w:tc>
        <w:tc>
          <w:tcPr>
            <w:tcW w:type="dxa" w:w="5616"/>
          </w:tcPr>
          <w:p>
            <w:pPr>
              <w:spacing w:after="40" w:before="40"/>
            </w:pPr>
            <w:r/>
            <w:r>
              <w:rPr>
                <w:rFonts w:ascii="Arial" w:hAnsi="Arial"/>
                <w:b w:val="0"/>
                <w:sz w:val="15"/>
              </w:rPr>
              <w:t>The Q1-2026 Maryland average was 11.19%. Lenders quote 9–13.5% plus 1–4 points. 1816's existing Nextres loan is at 15% (research/02).</w:t>
            </w:r>
          </w:p>
        </w:tc>
      </w:tr>
      <w:tr>
        <w:tc>
          <w:tcPr>
            <w:tcW w:type="dxa" w:w="2808"/>
          </w:tcPr>
          <w:p>
            <w:pPr>
              <w:spacing w:after="40" w:before="40"/>
            </w:pPr>
            <w:r/>
            <w:r>
              <w:rPr>
                <w:rFonts w:ascii="Arial" w:hAnsi="Arial"/>
                <w:b w:val="0"/>
                <w:sz w:val="15"/>
              </w:rPr>
              <w:t>Hard-money origination points</w:t>
            </w:r>
          </w:p>
        </w:tc>
        <w:tc>
          <w:tcPr>
            <w:tcW w:type="dxa" w:w="1080"/>
          </w:tcPr>
          <w:p>
            <w:pPr>
              <w:spacing w:after="40" w:before="40"/>
              <w:jc w:val="right"/>
            </w:pPr>
            <w:r/>
            <w:r>
              <w:rPr>
                <w:rFonts w:ascii="Arial" w:hAnsi="Arial"/>
                <w:b w:val="0"/>
                <w:sz w:val="15"/>
              </w:rPr>
              <w:t>2.50%</w:t>
            </w:r>
          </w:p>
        </w:tc>
        <w:tc>
          <w:tcPr>
            <w:tcW w:type="dxa" w:w="5616"/>
          </w:tcPr>
          <w:p>
            <w:pPr>
              <w:spacing w:after="40" w:before="40"/>
            </w:pPr>
            <w:r/>
            <w:r>
              <w:rPr>
                <w:rFonts w:ascii="Arial" w:hAnsi="Arial"/>
                <w:b w:val="0"/>
                <w:sz w:val="15"/>
              </w:rPr>
              <w:t>—</w:t>
            </w:r>
          </w:p>
        </w:tc>
      </w:tr>
      <w:tr>
        <w:tc>
          <w:tcPr>
            <w:tcW w:type="dxa" w:w="2808"/>
          </w:tcPr>
          <w:p>
            <w:pPr>
              <w:spacing w:after="40" w:before="40"/>
            </w:pPr>
            <w:r/>
            <w:r>
              <w:rPr>
                <w:rFonts w:ascii="Arial" w:hAnsi="Arial"/>
                <w:b w:val="0"/>
                <w:sz w:val="15"/>
              </w:rPr>
              <w:t>Sponsor cash equity (personal funds) – 1818 &amp; 1820</w:t>
            </w:r>
          </w:p>
        </w:tc>
        <w:tc>
          <w:tcPr>
            <w:tcW w:type="dxa" w:w="1080"/>
          </w:tcPr>
          <w:p>
            <w:pPr>
              <w:spacing w:after="40" w:before="40"/>
              <w:jc w:val="right"/>
            </w:pPr>
            <w:r/>
            <w:r>
              <w:rPr>
                <w:rFonts w:ascii="Arial" w:hAnsi="Arial"/>
                <w:b w:val="0"/>
                <w:sz w:val="15"/>
              </w:rPr>
              <w:t>$200,000</w:t>
            </w:r>
          </w:p>
        </w:tc>
        <w:tc>
          <w:tcPr>
            <w:tcW w:type="dxa" w:w="5616"/>
          </w:tcPr>
          <w:p>
            <w:pPr>
              <w:spacing w:after="40" w:before="40"/>
            </w:pPr>
            <w:r/>
            <w:r>
              <w:rPr>
                <w:rFonts w:ascii="Arial" w:hAnsi="Arial"/>
                <w:b w:val="0"/>
                <w:sz w:val="15"/>
              </w:rPr>
              <w:t>Bradford &amp; Jasmine Phillips / LLAYD LLC. Proof of funds to be provided.</w:t>
            </w:r>
          </w:p>
        </w:tc>
      </w:tr>
      <w:tr>
        <w:tc>
          <w:tcPr>
            <w:tcW w:type="dxa" w:w="2808"/>
          </w:tcPr>
          <w:p>
            <w:pPr>
              <w:spacing w:after="40" w:before="40"/>
            </w:pPr>
            <w:r/>
            <w:r>
              <w:rPr>
                <w:rFonts w:ascii="Arial" w:hAnsi="Arial"/>
                <w:b w:val="0"/>
                <w:sz w:val="15"/>
              </w:rPr>
              <w:t>MD Legislative Bond Initiative – 2027 session request (District 40)</w:t>
            </w:r>
          </w:p>
        </w:tc>
        <w:tc>
          <w:tcPr>
            <w:tcW w:type="dxa" w:w="1080"/>
          </w:tcPr>
          <w:p>
            <w:pPr>
              <w:spacing w:after="40" w:before="40"/>
              <w:jc w:val="right"/>
            </w:pPr>
            <w:r/>
            <w:r>
              <w:rPr>
                <w:rFonts w:ascii="Arial" w:hAnsi="Arial"/>
                <w:b w:val="0"/>
                <w:sz w:val="15"/>
              </w:rPr>
              <w:t>$500,000</w:t>
            </w:r>
          </w:p>
        </w:tc>
        <w:tc>
          <w:tcPr>
            <w:tcW w:type="dxa" w:w="5616"/>
          </w:tcPr>
          <w:p>
            <w:pPr>
              <w:spacing w:after="40" w:before="40"/>
            </w:pPr>
            <w:r/>
            <w:r>
              <w:rPr>
                <w:rFonts w:ascii="Arial" w:hAnsi="Arial"/>
                <w:b w:val="0"/>
                <w:sz w:val="15"/>
              </w:rPr>
              <w:t>District 40 (Sen. Hayes) application is due 11/23/2026, with presentations 11/30/2026. LBIs are non-matching unless the authorization says otherwise. Funds are available after 6/1/2027, which fits the July 2027 construction start. The 2025 session awarded LLAYD $250k.</w:t>
            </w:r>
          </w:p>
        </w:tc>
      </w:tr>
      <w:tr>
        <w:tc>
          <w:tcPr>
            <w:tcW w:type="dxa" w:w="2808"/>
          </w:tcPr>
          <w:p>
            <w:pPr>
              <w:spacing w:after="40" w:before="40"/>
            </w:pPr>
            <w:r/>
            <w:r>
              <w:rPr>
                <w:rFonts w:ascii="Arial" w:hAnsi="Arial"/>
                <w:b w:val="0"/>
                <w:sz w:val="15"/>
              </w:rPr>
              <w:t>BDC Façade Improvement Grant — Rehabilitation FIG ($25k × 2 buildings)</w:t>
            </w:r>
          </w:p>
        </w:tc>
        <w:tc>
          <w:tcPr>
            <w:tcW w:type="dxa" w:w="1080"/>
          </w:tcPr>
          <w:p>
            <w:pPr>
              <w:spacing w:after="40" w:before="40"/>
              <w:jc w:val="right"/>
            </w:pPr>
            <w:r/>
            <w:r>
              <w:rPr>
                <w:rFonts w:ascii="Arial" w:hAnsi="Arial"/>
                <w:b w:val="0"/>
                <w:sz w:val="15"/>
              </w:rPr>
              <w:t>$50,000</w:t>
            </w:r>
          </w:p>
        </w:tc>
        <w:tc>
          <w:tcPr>
            <w:tcW w:type="dxa" w:w="5616"/>
          </w:tcPr>
          <w:p>
            <w:pPr>
              <w:spacing w:after="40" w:before="40"/>
            </w:pPr>
            <w:r/>
            <w:r>
              <w:rPr>
                <w:rFonts w:ascii="Arial" w:hAnsi="Arial"/>
                <w:b w:val="0"/>
                <w:sz w:val="15"/>
              </w:rPr>
              <w:t>The Rehabilitation FIG is $25,000 with a 1:1 match, paid by reimbursement. A BDC site meeting is required first, and no work may start before approval (research/03).</w:t>
            </w:r>
          </w:p>
        </w:tc>
      </w:tr>
      <w:tr>
        <w:tc>
          <w:tcPr>
            <w:tcW w:type="dxa" w:w="2808"/>
          </w:tcPr>
          <w:p>
            <w:pPr>
              <w:spacing w:after="40" w:before="40"/>
            </w:pPr>
            <w:r/>
            <w:r>
              <w:rPr>
                <w:rFonts w:ascii="Arial" w:hAnsi="Arial"/>
                <w:b w:val="0"/>
                <w:sz w:val="15"/>
              </w:rPr>
              <w:t>MD Historic Revitalization Tax Credit — Competitive Commercial (20% of QRE)</w:t>
            </w:r>
          </w:p>
        </w:tc>
        <w:tc>
          <w:tcPr>
            <w:tcW w:type="dxa" w:w="1080"/>
          </w:tcPr>
          <w:p>
            <w:pPr>
              <w:spacing w:after="40" w:before="40"/>
              <w:jc w:val="right"/>
            </w:pPr>
            <w:r/>
            <w:r>
              <w:rPr>
                <w:rFonts w:ascii="Arial" w:hAnsi="Arial"/>
                <w:b w:val="0"/>
                <w:sz w:val="15"/>
              </w:rPr>
              <w:t>20%</w:t>
            </w:r>
          </w:p>
        </w:tc>
        <w:tc>
          <w:tcPr>
            <w:tcW w:type="dxa" w:w="5616"/>
          </w:tcPr>
          <w:p>
            <w:pPr>
              <w:spacing w:after="40" w:before="40"/>
            </w:pPr>
            <w:r/>
            <w:r>
              <w:rPr>
                <w:rFonts w:ascii="Arial" w:hAnsi="Arial"/>
                <w:b w:val="0"/>
                <w:sz w:val="15"/>
              </w:rPr>
              <w:t>20% of QRE, with an OZ bonus possible. The next round runs June–Aug 31, 2027; Part 2 approval is needed before work. Fallback is the Small Commercial credit, capped at $50k per project (research/03).</w:t>
            </w:r>
          </w:p>
        </w:tc>
      </w:tr>
      <w:tr>
        <w:tc>
          <w:tcPr>
            <w:tcW w:type="dxa" w:w="2808"/>
          </w:tcPr>
          <w:p>
            <w:pPr>
              <w:spacing w:after="40" w:before="40"/>
            </w:pPr>
            <w:r/>
            <w:r>
              <w:rPr>
                <w:rFonts w:ascii="Arial" w:hAnsi="Arial"/>
                <w:b w:val="0"/>
                <w:sz w:val="15"/>
              </w:rPr>
              <w:t>Federal Historic Tax Credit rate</w:t>
            </w:r>
          </w:p>
        </w:tc>
        <w:tc>
          <w:tcPr>
            <w:tcW w:type="dxa" w:w="1080"/>
          </w:tcPr>
          <w:p>
            <w:pPr>
              <w:spacing w:after="40" w:before="40"/>
              <w:jc w:val="right"/>
            </w:pPr>
            <w:r/>
            <w:r>
              <w:rPr>
                <w:rFonts w:ascii="Arial" w:hAnsi="Arial"/>
                <w:b w:val="0"/>
                <w:sz w:val="15"/>
              </w:rPr>
              <w:t>20%</w:t>
            </w:r>
          </w:p>
        </w:tc>
        <w:tc>
          <w:tcPr>
            <w:tcW w:type="dxa" w:w="5616"/>
          </w:tcPr>
          <w:p>
            <w:pPr>
              <w:spacing w:after="40" w:before="40"/>
            </w:pPr>
            <w:r/>
            <w:r>
              <w:rPr>
                <w:rFonts w:ascii="Arial" w:hAnsi="Arial"/>
                <w:b w:val="0"/>
                <w:sz w:val="15"/>
              </w:rPr>
              <w:t>20% of QRE for income-producing certified historic structures. 1820 is in the North Central National Register Historic District.</w:t>
            </w:r>
          </w:p>
        </w:tc>
      </w:tr>
      <w:tr>
        <w:tc>
          <w:tcPr>
            <w:tcW w:type="dxa" w:w="2808"/>
          </w:tcPr>
          <w:p>
            <w:pPr>
              <w:spacing w:after="40" w:before="40"/>
            </w:pPr>
            <w:r/>
            <w:r>
              <w:rPr>
                <w:rFonts w:ascii="Arial" w:hAnsi="Arial"/>
                <w:b w:val="0"/>
                <w:sz w:val="15"/>
              </w:rPr>
              <w:t>Tax credit equity pricing ($ per $1 of credit)</w:t>
            </w:r>
          </w:p>
        </w:tc>
        <w:tc>
          <w:tcPr>
            <w:tcW w:type="dxa" w:w="1080"/>
          </w:tcPr>
          <w:p>
            <w:pPr>
              <w:spacing w:after="40" w:before="40"/>
              <w:jc w:val="right"/>
            </w:pPr>
            <w:r/>
            <w:r>
              <w:rPr>
                <w:rFonts w:ascii="Arial" w:hAnsi="Arial"/>
                <w:b w:val="0"/>
                <w:sz w:val="15"/>
              </w:rPr>
              <w:t>$1</w:t>
            </w:r>
          </w:p>
        </w:tc>
        <w:tc>
          <w:tcPr>
            <w:tcW w:type="dxa" w:w="5616"/>
          </w:tcPr>
          <w:p>
            <w:pPr>
              <w:spacing w:after="40" w:before="40"/>
            </w:pPr>
            <w:r/>
            <w:r>
              <w:rPr>
                <w:rFonts w:ascii="Arial" w:hAnsi="Arial"/>
                <w:b w:val="0"/>
                <w:sz w:val="15"/>
              </w:rPr>
              <w:t>Pricing is UNVERIFIED. Small deals typically price at 80–95¢; 85¢ is modeled pending an investor quote.</w:t>
            </w:r>
          </w:p>
        </w:tc>
      </w:tr>
      <w:tr>
        <w:tc>
          <w:tcPr>
            <w:tcW w:type="dxa" w:w="2808"/>
          </w:tcPr>
          <w:p>
            <w:pPr>
              <w:spacing w:after="40" w:before="40"/>
            </w:pPr>
            <w:r/>
            <w:r>
              <w:rPr>
                <w:rFonts w:ascii="Arial" w:hAnsi="Arial"/>
                <w:b w:val="0"/>
                <w:sz w:val="15"/>
              </w:rPr>
              <w:t>Qualified rehab expenditures as a share of hard + eligible soft</w:t>
            </w:r>
          </w:p>
        </w:tc>
        <w:tc>
          <w:tcPr>
            <w:tcW w:type="dxa" w:w="1080"/>
          </w:tcPr>
          <w:p>
            <w:pPr>
              <w:spacing w:after="40" w:before="40"/>
              <w:jc w:val="right"/>
            </w:pPr>
            <w:r/>
            <w:r>
              <w:rPr>
                <w:rFonts w:ascii="Arial" w:hAnsi="Arial"/>
                <w:b w:val="0"/>
                <w:sz w:val="15"/>
              </w:rPr>
              <w:t>80%</w:t>
            </w:r>
          </w:p>
        </w:tc>
        <w:tc>
          <w:tcPr>
            <w:tcW w:type="dxa" w:w="5616"/>
          </w:tcPr>
          <w:p>
            <w:pPr>
              <w:spacing w:after="40" w:before="40"/>
            </w:pPr>
            <w:r/>
            <w:r>
              <w:rPr>
                <w:rFonts w:ascii="Arial" w:hAnsi="Arial"/>
                <w:b w:val="0"/>
                <w:sz w:val="15"/>
              </w:rPr>
              <w:t>Excludes acquisition, site work, the new addition (not QRE), and FF&amp;E.</w:t>
            </w:r>
          </w:p>
        </w:tc>
      </w:tr>
      <w:tr>
        <w:tc>
          <w:tcPr>
            <w:tcW w:type="dxa" w:w="2808"/>
          </w:tcPr>
          <w:p>
            <w:pPr>
              <w:spacing w:after="40" w:before="40"/>
            </w:pPr>
            <w:r/>
            <w:r>
              <w:rPr>
                <w:rFonts w:ascii="Arial" w:hAnsi="Arial"/>
                <w:b w:val="0"/>
                <w:sz w:val="15"/>
              </w:rPr>
              <w:t>Include federal HTC equity in base case (1 = yes, 0 = no)</w:t>
            </w:r>
          </w:p>
        </w:tc>
        <w:tc>
          <w:tcPr>
            <w:tcW w:type="dxa" w:w="1080"/>
          </w:tcPr>
          <w:p>
            <w:pPr>
              <w:spacing w:after="40" w:before="40"/>
              <w:jc w:val="right"/>
            </w:pPr>
            <w:r/>
            <w:r>
              <w:rPr>
                <w:rFonts w:ascii="Arial" w:hAnsi="Arial"/>
                <w:b w:val="0"/>
                <w:sz w:val="15"/>
              </w:rPr>
              <w:t>1</w:t>
            </w:r>
          </w:p>
        </w:tc>
        <w:tc>
          <w:tcPr>
            <w:tcW w:type="dxa" w:w="5616"/>
          </w:tcPr>
          <w:p>
            <w:pPr>
              <w:spacing w:after="40" w:before="40"/>
            </w:pPr>
            <w:r/>
            <w:r>
              <w:rPr>
                <w:rFonts w:ascii="Arial" w:hAnsi="Arial"/>
                <w:b w:val="0"/>
                <w:sz w:val="15"/>
              </w:rPr>
              <w:t>Requires NPS Part 1–3 certification and confirmed contributing status in the North Central NR District. The substantial-rehabilitation test applies.</w:t>
            </w:r>
          </w:p>
        </w:tc>
      </w:tr>
      <w:tr>
        <w:tc>
          <w:tcPr>
            <w:tcW w:type="dxa" w:w="2808"/>
          </w:tcPr>
          <w:p>
            <w:pPr>
              <w:spacing w:after="40" w:before="40"/>
            </w:pPr>
            <w:r/>
            <w:r>
              <w:rPr>
                <w:rFonts w:ascii="Arial" w:hAnsi="Arial"/>
                <w:b w:val="0"/>
                <w:sz w:val="15"/>
              </w:rPr>
              <w:t>Include MHT state credit in base case (1 = yes, 0 = no)</w:t>
            </w:r>
          </w:p>
        </w:tc>
        <w:tc>
          <w:tcPr>
            <w:tcW w:type="dxa" w:w="1080"/>
          </w:tcPr>
          <w:p>
            <w:pPr>
              <w:spacing w:after="40" w:before="40"/>
              <w:jc w:val="right"/>
            </w:pPr>
            <w:r/>
            <w:r>
              <w:rPr>
                <w:rFonts w:ascii="Arial" w:hAnsi="Arial"/>
                <w:b w:val="0"/>
                <w:sz w:val="15"/>
              </w:rPr>
              <w:t>1</w:t>
            </w:r>
          </w:p>
        </w:tc>
        <w:tc>
          <w:tcPr>
            <w:tcW w:type="dxa" w:w="5616"/>
          </w:tcPr>
          <w:p>
            <w:pPr>
              <w:spacing w:after="40" w:before="40"/>
            </w:pPr>
            <w:r/>
            <w:r>
              <w:rPr>
                <w:rFonts w:ascii="Arial" w:hAnsi="Arial"/>
                <w:b w:val="0"/>
                <w:sz w:val="15"/>
              </w:rPr>
              <w:t>Competitive award; the Small Commercial credit is an alternative.</w:t>
            </w:r>
          </w:p>
        </w:tc>
      </w:tr>
      <w:tr>
        <w:tc>
          <w:tcPr>
            <w:tcW w:type="dxa" w:w="2808"/>
          </w:tcPr>
          <w:p>
            <w:pPr>
              <w:spacing w:after="40" w:before="40"/>
            </w:pPr>
            <w:r/>
            <w:r>
              <w:rPr>
                <w:rFonts w:ascii="Arial" w:hAnsi="Arial"/>
                <w:b w:val="0"/>
                <w:sz w:val="15"/>
              </w:rPr>
              <w:t>BRNI award – 1816 (DHCD, BRNI-2026-LLAYD-00539-R)</w:t>
            </w:r>
          </w:p>
        </w:tc>
        <w:tc>
          <w:tcPr>
            <w:tcW w:type="dxa" w:w="1080"/>
          </w:tcPr>
          <w:p>
            <w:pPr>
              <w:spacing w:after="40" w:before="40"/>
              <w:jc w:val="right"/>
            </w:pPr>
            <w:r/>
            <w:r>
              <w:rPr>
                <w:rFonts w:ascii="Arial" w:hAnsi="Arial"/>
                <w:b w:val="0"/>
                <w:sz w:val="15"/>
              </w:rPr>
              <w:t>$250,000</w:t>
            </w:r>
          </w:p>
        </w:tc>
        <w:tc>
          <w:tcPr>
            <w:tcW w:type="dxa" w:w="5616"/>
          </w:tcPr>
          <w:p>
            <w:pPr>
              <w:spacing w:after="40" w:before="40"/>
            </w:pPr>
            <w:r/>
            <w:r>
              <w:rPr>
                <w:rFonts w:ascii="Arial" w:hAnsi="Arial"/>
                <w:b w:val="0"/>
                <w:sz w:val="15"/>
              </w:rPr>
              <w:t>Awarded. Term 1/1/2026–6/30/2028.</w:t>
            </w:r>
          </w:p>
        </w:tc>
      </w:tr>
      <w:tr>
        <w:tc>
          <w:tcPr>
            <w:tcW w:type="dxa" w:w="2808"/>
          </w:tcPr>
          <w:p>
            <w:pPr>
              <w:spacing w:after="40" w:before="40"/>
            </w:pPr>
            <w:r/>
            <w:r>
              <w:rPr>
                <w:rFonts w:ascii="Arial" w:hAnsi="Arial"/>
                <w:b w:val="0"/>
                <w:sz w:val="15"/>
              </w:rPr>
              <w:t>MD bond bill – 2025 (LLAYD / 1816)</w:t>
            </w:r>
          </w:p>
        </w:tc>
        <w:tc>
          <w:tcPr>
            <w:tcW w:type="dxa" w:w="1080"/>
          </w:tcPr>
          <w:p>
            <w:pPr>
              <w:spacing w:after="40" w:before="40"/>
              <w:jc w:val="right"/>
            </w:pPr>
            <w:r/>
            <w:r>
              <w:rPr>
                <w:rFonts w:ascii="Arial" w:hAnsi="Arial"/>
                <w:b w:val="0"/>
                <w:sz w:val="15"/>
              </w:rPr>
              <w:t>$250,000</w:t>
            </w:r>
          </w:p>
        </w:tc>
        <w:tc>
          <w:tcPr>
            <w:tcW w:type="dxa" w:w="5616"/>
          </w:tcPr>
          <w:p>
            <w:pPr>
              <w:spacing w:after="40" w:before="40"/>
            </w:pPr>
            <w:r/>
            <w:r>
              <w:rPr>
                <w:rFonts w:ascii="Arial" w:hAnsi="Arial"/>
                <w:b w:val="0"/>
                <w:sz w:val="15"/>
              </w:rPr>
              <w:t>Awarded to LLAYD for the 1816 N. Charles commercial spaces.</w:t>
            </w:r>
          </w:p>
        </w:tc>
      </w:tr>
      <w:tr>
        <w:tc>
          <w:tcPr>
            <w:tcW w:type="dxa" w:w="2808"/>
          </w:tcPr>
          <w:p>
            <w:pPr>
              <w:spacing w:after="40" w:before="40"/>
            </w:pPr>
            <w:r/>
            <w:r>
              <w:rPr>
                <w:rFonts w:ascii="Arial" w:hAnsi="Arial"/>
                <w:b w:val="0"/>
                <w:sz w:val="15"/>
              </w:rPr>
              <w:t>Sponsor equity invested to date – 1816</w:t>
            </w:r>
          </w:p>
        </w:tc>
        <w:tc>
          <w:tcPr>
            <w:tcW w:type="dxa" w:w="1080"/>
          </w:tcPr>
          <w:p>
            <w:pPr>
              <w:spacing w:after="40" w:before="40"/>
              <w:jc w:val="right"/>
            </w:pPr>
            <w:r/>
            <w:r>
              <w:rPr>
                <w:rFonts w:ascii="Arial" w:hAnsi="Arial"/>
                <w:b w:val="0"/>
                <w:sz w:val="15"/>
              </w:rPr>
              <w:t>$559,000</w:t>
            </w:r>
          </w:p>
        </w:tc>
        <w:tc>
          <w:tcPr>
            <w:tcW w:type="dxa" w:w="5616"/>
          </w:tcPr>
          <w:p>
            <w:pPr>
              <w:spacing w:after="40" w:before="40"/>
            </w:pPr>
            <w:r/>
            <w:r>
              <w:rPr>
                <w:rFonts w:ascii="Arial" w:hAnsi="Arial"/>
                <w:b w:val="0"/>
                <w:sz w:val="15"/>
              </w:rPr>
              <w:t>Per the 2025 LBI request and investor overview.</w:t>
            </w:r>
          </w:p>
        </w:tc>
      </w:tr>
      <w:tr>
        <w:tc>
          <w:tcPr>
            <w:tcW w:type="dxa" w:w="2808"/>
          </w:tcPr>
          <w:p>
            <w:pPr>
              <w:spacing w:after="40" w:before="40"/>
            </w:pPr>
            <w:r/>
            <w:r>
              <w:rPr>
                <w:rFonts w:ascii="Arial" w:hAnsi="Arial"/>
                <w:b w:val="0"/>
                <w:sz w:val="15"/>
              </w:rPr>
              <w:t>1818 existing gross SF</w:t>
            </w:r>
          </w:p>
        </w:tc>
        <w:tc>
          <w:tcPr>
            <w:tcW w:type="dxa" w:w="1080"/>
          </w:tcPr>
          <w:p>
            <w:pPr>
              <w:spacing w:after="40" w:before="40"/>
              <w:jc w:val="right"/>
            </w:pPr>
            <w:r/>
            <w:r>
              <w:rPr>
                <w:rFonts w:ascii="Arial" w:hAnsi="Arial"/>
                <w:b w:val="0"/>
                <w:sz w:val="15"/>
              </w:rPr>
              <w:t>3,800</w:t>
            </w:r>
          </w:p>
        </w:tc>
        <w:tc>
          <w:tcPr>
            <w:tcW w:type="dxa" w:w="5616"/>
          </w:tcPr>
          <w:p>
            <w:pPr>
              <w:spacing w:after="40" w:before="40"/>
            </w:pPr>
            <w:r/>
            <w:r>
              <w:rPr>
                <w:rFonts w:ascii="Arial" w:hAnsi="Arial"/>
                <w:b w:val="0"/>
                <w:sz w:val="15"/>
              </w:rPr>
              <w:t>Per the 1818 foreclosure filing (about 3,800 SF restaurant/lounge). Verify with a measured survey.</w:t>
            </w:r>
          </w:p>
        </w:tc>
      </w:tr>
      <w:tr>
        <w:tc>
          <w:tcPr>
            <w:tcW w:type="dxa" w:w="2808"/>
          </w:tcPr>
          <w:p>
            <w:pPr>
              <w:spacing w:after="40" w:before="40"/>
            </w:pPr>
            <w:r/>
            <w:r>
              <w:rPr>
                <w:rFonts w:ascii="Arial" w:hAnsi="Arial"/>
                <w:b w:val="0"/>
                <w:sz w:val="15"/>
              </w:rPr>
              <w:t>1820 gross SF (4 floors + lower level)</w:t>
            </w:r>
          </w:p>
        </w:tc>
        <w:tc>
          <w:tcPr>
            <w:tcW w:type="dxa" w:w="1080"/>
          </w:tcPr>
          <w:p>
            <w:pPr>
              <w:spacing w:after="40" w:before="40"/>
              <w:jc w:val="right"/>
            </w:pPr>
            <w:r/>
            <w:r>
              <w:rPr>
                <w:rFonts w:ascii="Arial" w:hAnsi="Arial"/>
                <w:b w:val="0"/>
                <w:sz w:val="15"/>
              </w:rPr>
              <w:t>6,300</w:t>
            </w:r>
          </w:p>
        </w:tc>
        <w:tc>
          <w:tcPr>
            <w:tcW w:type="dxa" w:w="5616"/>
          </w:tcPr>
          <w:p>
            <w:pPr>
              <w:spacing w:after="40" w:before="40"/>
            </w:pPr>
            <w:r/>
            <w:r>
              <w:rPr>
                <w:rFonts w:ascii="Arial" w:hAnsi="Arial"/>
                <w:b w:val="0"/>
                <w:sz w:val="15"/>
              </w:rPr>
              <w:t>Estimated from the 1,655 SF lot and a footprint similar to 1816 (5,484 GBA on a 1,437 SF lot). Verify with a measured survey.</w:t>
            </w:r>
          </w:p>
        </w:tc>
      </w:tr>
      <w:tr>
        <w:tc>
          <w:tcPr>
            <w:tcW w:type="dxa" w:w="2808"/>
          </w:tcPr>
          <w:p>
            <w:pPr>
              <w:spacing w:after="40" w:before="40"/>
            </w:pPr>
            <w:r/>
            <w:r>
              <w:rPr>
                <w:rFonts w:ascii="Arial" w:hAnsi="Arial"/>
                <w:b w:val="0"/>
                <w:sz w:val="15"/>
              </w:rPr>
              <w:t>1816 design &amp; construction completed to date (excl. acquisition)</w:t>
            </w:r>
          </w:p>
        </w:tc>
        <w:tc>
          <w:tcPr>
            <w:tcW w:type="dxa" w:w="1080"/>
          </w:tcPr>
          <w:p>
            <w:pPr>
              <w:spacing w:after="40" w:before="40"/>
              <w:jc w:val="right"/>
            </w:pPr>
            <w:r/>
            <w:r>
              <w:rPr>
                <w:rFonts w:ascii="Arial" w:hAnsi="Arial"/>
                <w:b w:val="0"/>
                <w:sz w:val="15"/>
              </w:rPr>
              <w:t>$797,000</w:t>
            </w:r>
          </w:p>
        </w:tc>
        <w:tc>
          <w:tcPr>
            <w:tcW w:type="dxa" w:w="5616"/>
          </w:tcPr>
          <w:p>
            <w:pPr>
              <w:spacing w:after="40" w:before="40"/>
            </w:pPr>
            <w:r/>
            <w:r>
              <w:rPr>
                <w:rFonts w:ascii="Arial" w:hAnsi="Arial"/>
                <w:b w:val="0"/>
                <w:sz w:val="15"/>
              </w:rPr>
              <w:t>$1,097,000 invested to date minus the $300,000 purchase price (PM dashboard, Feb 2026).</w:t>
            </w:r>
          </w:p>
        </w:tc>
      </w:tr>
      <w:tr>
        <w:tc>
          <w:tcPr>
            <w:tcW w:type="dxa" w:w="2808"/>
          </w:tcPr>
          <w:p>
            <w:pPr>
              <w:spacing w:after="40" w:before="40"/>
            </w:pPr>
            <w:r/>
            <w:r>
              <w:rPr>
                <w:rFonts w:ascii="Arial" w:hAnsi="Arial"/>
                <w:b w:val="0"/>
                <w:sz w:val="15"/>
              </w:rPr>
              <w:t>1816 settlement charges (HUD-1)</w:t>
            </w:r>
          </w:p>
        </w:tc>
        <w:tc>
          <w:tcPr>
            <w:tcW w:type="dxa" w:w="1080"/>
          </w:tcPr>
          <w:p>
            <w:pPr>
              <w:spacing w:after="40" w:before="40"/>
              <w:jc w:val="right"/>
            </w:pPr>
            <w:r/>
            <w:r>
              <w:rPr>
                <w:rFonts w:ascii="Arial" w:hAnsi="Arial"/>
                <w:b w:val="0"/>
                <w:sz w:val="15"/>
              </w:rPr>
              <w:t>$36,052</w:t>
            </w:r>
          </w:p>
        </w:tc>
        <w:tc>
          <w:tcPr>
            <w:tcW w:type="dxa" w:w="5616"/>
          </w:tcPr>
          <w:p>
            <w:pPr>
              <w:spacing w:after="40" w:before="40"/>
            </w:pPr>
            <w:r/>
            <w:r>
              <w:rPr>
                <w:rFonts w:ascii="Arial" w:hAnsi="Arial"/>
                <w:b w:val="0"/>
                <w:sz w:val="15"/>
              </w:rPr>
              <w:t>HUD settlement statement, June 26, 2023.</w:t>
            </w:r>
          </w:p>
        </w:tc>
      </w:tr>
      <w:tr>
        <w:tc>
          <w:tcPr>
            <w:tcW w:type="dxa" w:w="2808"/>
          </w:tcPr>
          <w:p>
            <w:pPr>
              <w:spacing w:after="40" w:before="40"/>
            </w:pPr>
            <w:r/>
            <w:r>
              <w:rPr>
                <w:rFonts w:ascii="Arial" w:hAnsi="Arial"/>
                <w:b w:val="0"/>
                <w:sz w:val="15"/>
              </w:rPr>
              <w:t>1816 carrying costs to date (interest, fees, taxes, water, registration)</w:t>
            </w:r>
          </w:p>
        </w:tc>
        <w:tc>
          <w:tcPr>
            <w:tcW w:type="dxa" w:w="1080"/>
          </w:tcPr>
          <w:p>
            <w:pPr>
              <w:spacing w:after="40" w:before="40"/>
              <w:jc w:val="right"/>
            </w:pPr>
            <w:r/>
            <w:r>
              <w:rPr>
                <w:rFonts w:ascii="Arial" w:hAnsi="Arial"/>
                <w:b w:val="0"/>
                <w:sz w:val="15"/>
              </w:rPr>
              <w:t>$230,744</w:t>
            </w:r>
          </w:p>
        </w:tc>
        <w:tc>
          <w:tcPr>
            <w:tcW w:type="dxa" w:w="5616"/>
          </w:tcPr>
          <w:p>
            <w:pPr>
              <w:spacing w:after="40" w:before="40"/>
            </w:pPr>
            <w:r/>
            <w:r>
              <w:rPr>
                <w:rFonts w:ascii="Arial" w:hAnsi="Arial"/>
                <w:b w:val="0"/>
                <w:sz w:val="15"/>
              </w:rPr>
              <w:t>Financial summary, Feb 23, 2026.</w:t>
            </w:r>
          </w:p>
        </w:tc>
      </w:tr>
      <w:tr>
        <w:tc>
          <w:tcPr>
            <w:tcW w:type="dxa" w:w="2808"/>
          </w:tcPr>
          <w:p>
            <w:pPr>
              <w:spacing w:after="40" w:before="40"/>
            </w:pPr>
            <w:r/>
            <w:r>
              <w:rPr>
                <w:rFonts w:ascii="Arial" w:hAnsi="Arial"/>
                <w:b w:val="0"/>
                <w:sz w:val="15"/>
              </w:rPr>
              <w:t>1816 hard-money charges at payoff (fees, late charges, deferred interest)</w:t>
            </w:r>
          </w:p>
        </w:tc>
        <w:tc>
          <w:tcPr>
            <w:tcW w:type="dxa" w:w="1080"/>
          </w:tcPr>
          <w:p>
            <w:pPr>
              <w:spacing w:after="40" w:before="40"/>
              <w:jc w:val="right"/>
            </w:pPr>
            <w:r/>
            <w:r>
              <w:rPr>
                <w:rFonts w:ascii="Arial" w:hAnsi="Arial"/>
                <w:b w:val="0"/>
                <w:sz w:val="15"/>
              </w:rPr>
              <w:t>$19,510</w:t>
            </w:r>
          </w:p>
        </w:tc>
        <w:tc>
          <w:tcPr>
            <w:tcW w:type="dxa" w:w="5616"/>
          </w:tcPr>
          <w:p>
            <w:pPr>
              <w:spacing w:after="40" w:before="40"/>
            </w:pPr>
            <w:r/>
            <w:r>
              <w:rPr>
                <w:rFonts w:ascii="Arial" w:hAnsi="Arial"/>
                <w:b w:val="0"/>
                <w:sz w:val="15"/>
              </w:rPr>
              <w:t>FCI servicing statement: $16,502 + $648 + $2,198 + $162 other.</w:t>
            </w:r>
          </w:p>
        </w:tc>
      </w:tr>
      <w:tr>
        <w:tc>
          <w:tcPr>
            <w:tcW w:type="dxa" w:w="2808"/>
          </w:tcPr>
          <w:p>
            <w:pPr>
              <w:spacing w:after="40" w:before="40"/>
            </w:pPr>
            <w:r/>
            <w:r>
              <w:rPr>
                <w:rFonts w:ascii="Arial" w:hAnsi="Arial"/>
                <w:b w:val="0"/>
                <w:sz w:val="15"/>
              </w:rPr>
              <w:t>1816 soft costs to complete (CO, inspections, legal, leasing)</w:t>
            </w:r>
          </w:p>
        </w:tc>
        <w:tc>
          <w:tcPr>
            <w:tcW w:type="dxa" w:w="1080"/>
          </w:tcPr>
          <w:p>
            <w:pPr>
              <w:spacing w:after="40" w:before="40"/>
              <w:jc w:val="right"/>
            </w:pPr>
            <w:r/>
            <w:r>
              <w:rPr>
                <w:rFonts w:ascii="Arial" w:hAnsi="Arial"/>
                <w:b w:val="0"/>
                <w:sz w:val="15"/>
              </w:rPr>
              <w:t>$25,000</w:t>
            </w:r>
          </w:p>
        </w:tc>
        <w:tc>
          <w:tcPr>
            <w:tcW w:type="dxa" w:w="5616"/>
          </w:tcPr>
          <w:p>
            <w:pPr>
              <w:spacing w:after="40" w:before="40"/>
            </w:pPr>
            <w:r/>
            <w:r>
              <w:rPr>
                <w:rFonts w:ascii="Arial" w:hAnsi="Arial"/>
                <w:b w:val="0"/>
                <w:sz w:val="15"/>
              </w:rPr>
              <w:t>—</w:t>
            </w:r>
          </w:p>
        </w:tc>
      </w:tr>
      <w:tr>
        <w:tc>
          <w:tcPr>
            <w:tcW w:type="dxa" w:w="2808"/>
          </w:tcPr>
          <w:p>
            <w:pPr>
              <w:spacing w:after="40" w:before="40"/>
            </w:pPr>
            <w:r/>
            <w:r>
              <w:rPr>
                <w:rFonts w:ascii="Arial" w:hAnsi="Arial"/>
                <w:b w:val="0"/>
                <w:sz w:val="15"/>
              </w:rPr>
              <w:t>1816 refinance closing costs (% of loan)</w:t>
            </w:r>
          </w:p>
        </w:tc>
        <w:tc>
          <w:tcPr>
            <w:tcW w:type="dxa" w:w="1080"/>
          </w:tcPr>
          <w:p>
            <w:pPr>
              <w:spacing w:after="40" w:before="40"/>
              <w:jc w:val="right"/>
            </w:pPr>
            <w:r/>
            <w:r>
              <w:rPr>
                <w:rFonts w:ascii="Arial" w:hAnsi="Arial"/>
                <w:b w:val="0"/>
                <w:sz w:val="15"/>
              </w:rPr>
              <w:t>2%</w:t>
            </w:r>
          </w:p>
        </w:tc>
        <w:tc>
          <w:tcPr>
            <w:tcW w:type="dxa" w:w="5616"/>
          </w:tcPr>
          <w:p>
            <w:pPr>
              <w:spacing w:after="40" w:before="40"/>
            </w:pPr>
            <w:r/>
            <w:r>
              <w:rPr>
                <w:rFonts w:ascii="Arial" w:hAnsi="Arial"/>
                <w:b w:val="0"/>
                <w:sz w:val="15"/>
              </w:rPr>
              <w:t>—</w:t>
            </w:r>
          </w:p>
        </w:tc>
      </w:tr>
      <w:tr>
        <w:tc>
          <w:tcPr>
            <w:tcW w:type="dxa" w:w="2808"/>
          </w:tcPr>
          <w:p>
            <w:pPr>
              <w:spacing w:after="40" w:before="40"/>
            </w:pPr>
            <w:r/>
            <w:r>
              <w:rPr>
                <w:rFonts w:ascii="Arial" w:hAnsi="Arial"/>
                <w:b w:val="0"/>
                <w:sz w:val="15"/>
              </w:rPr>
              <w:t>Apply CHAP credit to 1816? (1 = yes, 0 = no)</w:t>
            </w:r>
          </w:p>
        </w:tc>
        <w:tc>
          <w:tcPr>
            <w:tcW w:type="dxa" w:w="1080"/>
          </w:tcPr>
          <w:p>
            <w:pPr>
              <w:spacing w:after="40" w:before="40"/>
              <w:jc w:val="right"/>
            </w:pPr>
            <w:r/>
            <w:r>
              <w:rPr>
                <w:rFonts w:ascii="Arial" w:hAnsi="Arial"/>
                <w:b w:val="0"/>
                <w:sz w:val="15"/>
              </w:rPr>
              <w:t>0</w:t>
            </w:r>
          </w:p>
        </w:tc>
        <w:tc>
          <w:tcPr>
            <w:tcW w:type="dxa" w:w="5616"/>
          </w:tcPr>
          <w:p>
            <w:pPr>
              <w:spacing w:after="40" w:before="40"/>
            </w:pPr>
            <w:r/>
            <w:r>
              <w:rPr>
                <w:rFonts w:ascii="Arial" w:hAnsi="Arial"/>
                <w:b w:val="0"/>
                <w:sz w:val="15"/>
              </w:rPr>
              <w:t>Excluded (conservative). The CHAP credit must be applied for before work starts, and 1816 work began in Jan 2024. Confirm whether an application was filed.</w:t>
            </w:r>
          </w:p>
        </w:tc>
      </w:tr>
      <w:tr>
        <w:tc>
          <w:tcPr>
            <w:tcW w:type="dxa" w:w="2808"/>
          </w:tcPr>
          <w:p>
            <w:pPr>
              <w:spacing w:after="40" w:before="40"/>
            </w:pPr>
            <w:r/>
            <w:r>
              <w:rPr>
                <w:rFonts w:ascii="Arial" w:hAnsi="Arial"/>
                <w:b w:val="0"/>
                <w:sz w:val="15"/>
              </w:rPr>
              <w:t>Include CHAP credit in NIIF sizing NOI? (1 = yes)</w:t>
            </w:r>
          </w:p>
        </w:tc>
        <w:tc>
          <w:tcPr>
            <w:tcW w:type="dxa" w:w="1080"/>
          </w:tcPr>
          <w:p>
            <w:pPr>
              <w:spacing w:after="40" w:before="40"/>
              <w:jc w:val="right"/>
            </w:pPr>
            <w:r/>
            <w:r>
              <w:rPr>
                <w:rFonts w:ascii="Arial" w:hAnsi="Arial"/>
                <w:b w:val="0"/>
                <w:sz w:val="15"/>
              </w:rPr>
              <w:t>1</w:t>
            </w:r>
          </w:p>
        </w:tc>
        <w:tc>
          <w:tcPr>
            <w:tcW w:type="dxa" w:w="5616"/>
          </w:tcPr>
          <w:p>
            <w:pPr>
              <w:spacing w:after="40" w:before="40"/>
            </w:pPr>
            <w:r/>
            <w:r>
              <w:rPr>
                <w:rFonts w:ascii="Arial" w:hAnsi="Arial"/>
                <w:b w:val="0"/>
                <w:sz w:val="15"/>
              </w:rPr>
              <w:t>1 = yes: the CHAP credit is a certified 10-year City tax credit, and the loan is still sized on market rents. The Debt_Metrics tab also shows DSCR without CHAP.</w:t>
            </w:r>
          </w:p>
        </w:tc>
      </w:tr>
      <w:tr>
        <w:tc>
          <w:tcPr>
            <w:tcW w:type="dxa" w:w="2808"/>
          </w:tcPr>
          <w:p>
            <w:pPr>
              <w:spacing w:after="40" w:before="40"/>
            </w:pPr>
            <w:r/>
            <w:r>
              <w:rPr>
                <w:rFonts w:ascii="Arial" w:hAnsi="Arial"/>
                <w:b w:val="0"/>
                <w:sz w:val="15"/>
              </w:rPr>
              <w:t>DHCD BRNI — FY2029 round (1818/1820)</w:t>
            </w:r>
          </w:p>
        </w:tc>
        <w:tc>
          <w:tcPr>
            <w:tcW w:type="dxa" w:w="1080"/>
          </w:tcPr>
          <w:p>
            <w:pPr>
              <w:spacing w:after="40" w:before="40"/>
              <w:jc w:val="right"/>
            </w:pPr>
            <w:r/>
            <w:r>
              <w:rPr>
                <w:rFonts w:ascii="Arial" w:hAnsi="Arial"/>
                <w:b w:val="0"/>
                <w:sz w:val="15"/>
              </w:rPr>
              <w:t>$150,000</w:t>
            </w:r>
          </w:p>
        </w:tc>
        <w:tc>
          <w:tcPr>
            <w:tcW w:type="dxa" w:w="5616"/>
          </w:tcPr>
          <w:p>
            <w:pPr>
              <w:spacing w:after="40" w:before="40"/>
            </w:pPr>
            <w:r/>
            <w:r>
              <w:rPr>
                <w:rFonts w:ascii="Arial" w:hAnsi="Arial"/>
                <w:b w:val="0"/>
                <w:sz w:val="15"/>
              </w:rPr>
              <w:t>The FY2028 round closed 8/6/2026; FY2029 is expected ≈June 2027. Awards typically run $25k–$500k. Applicants must be nonprofit CDOs, so confirm LLAYD's eligibility or apply with a CDO partner (research/03).</w:t>
            </w:r>
          </w:p>
        </w:tc>
      </w:tr>
      <w:tr>
        <w:tc>
          <w:tcPr>
            <w:tcW w:type="dxa" w:w="2808"/>
          </w:tcPr>
          <w:p>
            <w:pPr>
              <w:spacing w:after="40" w:before="40"/>
            </w:pPr>
            <w:r/>
            <w:r>
              <w:rPr>
                <w:rFonts w:ascii="Arial" w:hAnsi="Arial"/>
                <w:b w:val="0"/>
                <w:sz w:val="15"/>
              </w:rPr>
              <w:t>DHCD Strategic Demolition Fund / Project C.O.R.E. — via CDO partner</w:t>
            </w:r>
          </w:p>
        </w:tc>
        <w:tc>
          <w:tcPr>
            <w:tcW w:type="dxa" w:w="1080"/>
          </w:tcPr>
          <w:p>
            <w:pPr>
              <w:spacing w:after="40" w:before="40"/>
              <w:jc w:val="right"/>
            </w:pPr>
            <w:r/>
            <w:r>
              <w:rPr>
                <w:rFonts w:ascii="Arial" w:hAnsi="Arial"/>
                <w:b w:val="0"/>
                <w:sz w:val="15"/>
              </w:rPr>
              <w:t>$250,000</w:t>
            </w:r>
          </w:p>
        </w:tc>
        <w:tc>
          <w:tcPr>
            <w:tcW w:type="dxa" w:w="5616"/>
          </w:tcPr>
          <w:p>
            <w:pPr>
              <w:spacing w:after="40" w:before="40"/>
            </w:pPr>
            <w:r/>
            <w:r>
              <w:rPr>
                <w:rFonts w:ascii="Arial" w:hAnsi="Arial"/>
                <w:b w:val="0"/>
                <w:sz w:val="15"/>
              </w:rPr>
              <w:t>Covers stabilization and redevelopment of vacant buildings. Open only to local governments and nonprofit CDOs, so it would be requested with Central Baltimore Partnership (research/03).</w:t>
            </w:r>
          </w:p>
        </w:tc>
      </w:tr>
      <w:tr>
        <w:tc>
          <w:tcPr>
            <w:tcW w:type="dxa" w:w="2808"/>
          </w:tcPr>
          <w:p>
            <w:pPr>
              <w:spacing w:after="40" w:before="40"/>
            </w:pPr>
            <w:r/>
            <w:r>
              <w:rPr>
                <w:rFonts w:ascii="Arial" w:hAnsi="Arial"/>
                <w:b w:val="0"/>
                <w:sz w:val="15"/>
              </w:rPr>
              <w:t>DHCD Community Legacy — via CDO partner</w:t>
            </w:r>
          </w:p>
        </w:tc>
        <w:tc>
          <w:tcPr>
            <w:tcW w:type="dxa" w:w="1080"/>
          </w:tcPr>
          <w:p>
            <w:pPr>
              <w:spacing w:after="40" w:before="40"/>
              <w:jc w:val="right"/>
            </w:pPr>
            <w:r/>
            <w:r>
              <w:rPr>
                <w:rFonts w:ascii="Arial" w:hAnsi="Arial"/>
                <w:b w:val="0"/>
                <w:sz w:val="15"/>
              </w:rPr>
              <w:t>$100,000</w:t>
            </w:r>
          </w:p>
        </w:tc>
        <w:tc>
          <w:tcPr>
            <w:tcW w:type="dxa" w:w="5616"/>
          </w:tcPr>
          <w:p>
            <w:pPr>
              <w:spacing w:after="40" w:before="40"/>
            </w:pPr>
            <w:r/>
            <w:r>
              <w:rPr>
                <w:rFonts w:ascii="Arial" w:hAnsi="Arial"/>
                <w:b w:val="0"/>
                <w:sz w:val="15"/>
              </w:rPr>
              <w:t>Capital grant in Sustainable Communities through a CDO or local government. The FY28 round closed 8/6/2026; FY29 is expected mid-2027.</w:t>
            </w:r>
          </w:p>
        </w:tc>
      </w:tr>
      <w:tr>
        <w:tc>
          <w:tcPr>
            <w:tcW w:type="dxa" w:w="2808"/>
          </w:tcPr>
          <w:p>
            <w:pPr>
              <w:spacing w:after="40" w:before="40"/>
            </w:pPr>
            <w:r/>
            <w:r>
              <w:rPr>
                <w:rFonts w:ascii="Arial" w:hAnsi="Arial"/>
                <w:b w:val="0"/>
                <w:sz w:val="15"/>
              </w:rPr>
              <w:t>First stabilized operating year (pro forma Year 1)</w:t>
            </w:r>
          </w:p>
        </w:tc>
        <w:tc>
          <w:tcPr>
            <w:tcW w:type="dxa" w:w="1080"/>
          </w:tcPr>
          <w:p>
            <w:pPr>
              <w:spacing w:after="40" w:before="40"/>
              <w:jc w:val="right"/>
            </w:pPr>
            <w:r/>
            <w:r>
              <w:rPr>
                <w:rFonts w:ascii="Arial" w:hAnsi="Arial"/>
                <w:b w:val="0"/>
                <w:sz w:val="15"/>
              </w:rPr>
              <w:t>2,029</w:t>
            </w:r>
          </w:p>
        </w:tc>
        <w:tc>
          <w:tcPr>
            <w:tcW w:type="dxa" w:w="5616"/>
          </w:tcPr>
          <w:p>
            <w:pPr>
              <w:spacing w:after="40" w:before="40"/>
            </w:pPr>
            <w:r/>
            <w:r>
              <w:rPr>
                <w:rFonts w:ascii="Arial" w:hAnsi="Arial"/>
                <w:b w:val="0"/>
                <w:sz w:val="15"/>
              </w:rPr>
              <w:t>1816 completes in 2027. 1818/1820 construct Q3 2027–Q4 2028 and lease up by mid-2029.</w:t>
            </w:r>
          </w:p>
        </w:tc>
      </w:tr>
    </w:tbl>
    <w:p>
      <w:pPr>
        <w:spacing w:after="200" w:before="0"/>
      </w:pPr>
      <w:r>
        <w:rPr>
          <w:b w:val="0"/>
          <w:i/>
          <w:color w:val="595959"/>
          <w:sz w:val="17"/>
        </w:rPr>
        <w:t>Sources are documented in full in the research appendices at llayd.net/bdc: community profile; market rents, cap rates and costs; funding programs; and BDC &amp; NIIF underwriting expectations.</w:t>
      </w:r>
    </w:p>
    <w:p>
      <w:pPr>
        <w:pStyle w:val="Heading1"/>
        <w:keepNext/>
        <w:spacing w:after="120" w:before="320"/>
      </w:pPr>
      <w:r>
        <w:rPr>
          <w:rFonts w:ascii="Arial" w:hAnsi="Arial"/>
          <w:b/>
          <w:i w:val="0"/>
          <w:color w:val="1F2A44"/>
          <w:sz w:val="30"/>
        </w:rPr>
        <w:t>11. Risks and mitigants</w:t>
      </w:r>
    </w:p>
    <w:tbl>
      <w:tblPr>
        <w:tblStyle w:val="TableGrid"/>
        <w:tblW w:type="auto" w:w="0"/>
        <w:jc w:val="center"/>
        <w:tblLook w:firstColumn="1" w:firstRow="1" w:lastColumn="0" w:lastRow="0" w:noHBand="0" w:noVBand="1" w:val="04A0"/>
      </w:tblPr>
      <w:tblGrid>
        <w:gridCol w:w="4824"/>
        <w:gridCol w:w="4824"/>
      </w:tblGrid>
      <w:tr>
        <w:tc>
          <w:tcPr>
            <w:tcW w:type="dxa" w:w="3888"/>
            <w:shd w:val="clear" w:fill="1F2A44"/>
          </w:tcPr>
          <w:p>
            <w:r/>
            <w:r>
              <w:rPr>
                <w:rFonts w:ascii="Arial" w:hAnsi="Arial"/>
                <w:b/>
                <w:color w:val="FFFFFF"/>
                <w:sz w:val="18"/>
              </w:rPr>
              <w:t>Risk</w:t>
            </w:r>
          </w:p>
        </w:tc>
        <w:tc>
          <w:tcPr>
            <w:tcW w:type="dxa" w:w="5040"/>
            <w:shd w:val="clear" w:fill="1F2A44"/>
          </w:tcPr>
          <w:p>
            <w:r/>
            <w:r>
              <w:rPr>
                <w:rFonts w:ascii="Arial" w:hAnsi="Arial"/>
                <w:b/>
                <w:color w:val="FFFFFF"/>
                <w:sz w:val="18"/>
              </w:rPr>
              <w:t>Mitigant</w:t>
            </w:r>
          </w:p>
        </w:tc>
      </w:tr>
      <w:tr>
        <w:tc>
          <w:tcPr>
            <w:tcW w:type="dxa" w:w="3888"/>
          </w:tcPr>
          <w:p>
            <w:pPr>
              <w:spacing w:after="40" w:before="40"/>
            </w:pPr>
            <w:r/>
            <w:r>
              <w:rPr>
                <w:rFonts w:ascii="Arial" w:hAnsi="Arial"/>
                <w:b w:val="0"/>
                <w:sz w:val="18"/>
              </w:rPr>
              <w:t>1818 sale ratification (Case C-24-CV-25-008522; exceptions filed 3/27/2026)</w:t>
            </w:r>
          </w:p>
        </w:tc>
        <w:tc>
          <w:tcPr>
            <w:tcW w:type="dxa" w:w="5040"/>
          </w:tcPr>
          <w:p>
            <w:pPr>
              <w:spacing w:after="40" w:before="40"/>
            </w:pPr>
            <w:r/>
            <w:r>
              <w:rPr>
                <w:rFonts w:ascii="Arial" w:hAnsi="Arial"/>
                <w:b w:val="0"/>
                <w:sz w:val="18"/>
              </w:rPr>
              <w:t>Document ratification and deed status; no Phase 2 draw until title is insured</w:t>
            </w:r>
          </w:p>
        </w:tc>
      </w:tr>
      <w:tr>
        <w:tc>
          <w:tcPr>
            <w:tcW w:type="dxa" w:w="3888"/>
          </w:tcPr>
          <w:p>
            <w:pPr>
              <w:spacing w:after="40" w:before="40"/>
            </w:pPr>
            <w:r/>
            <w:r>
              <w:rPr>
                <w:rFonts w:ascii="Arial" w:hAnsi="Arial"/>
                <w:b w:val="0"/>
                <w:sz w:val="18"/>
              </w:rPr>
              <w:t>1816 Nextres note matured 4/1/2026 (15%)</w:t>
            </w:r>
          </w:p>
        </w:tc>
        <w:tc>
          <w:tcPr>
            <w:tcW w:type="dxa" w:w="5040"/>
          </w:tcPr>
          <w:p>
            <w:pPr>
              <w:spacing w:after="40" w:before="40"/>
            </w:pPr>
            <w:r/>
            <w:r>
              <w:rPr>
                <w:rFonts w:ascii="Arial" w:hAnsi="Arial"/>
                <w:b w:val="0"/>
                <w:sz w:val="18"/>
              </w:rPr>
              <w:t>Permanent takeout at 1.78x DSCR and 48% LTV; NIIF participation requested; current status to be documented</w:t>
            </w:r>
          </w:p>
        </w:tc>
      </w:tr>
      <w:tr>
        <w:tc>
          <w:tcPr>
            <w:tcW w:type="dxa" w:w="3888"/>
          </w:tcPr>
          <w:p>
            <w:pPr>
              <w:spacing w:after="40" w:before="40"/>
            </w:pPr>
            <w:r/>
            <w:r>
              <w:rPr>
                <w:rFonts w:ascii="Arial" w:hAnsi="Arial"/>
                <w:b w:val="0"/>
                <w:sz w:val="18"/>
              </w:rPr>
              <w:t>Rent premium over nearby 1BR comparables</w:t>
            </w:r>
          </w:p>
        </w:tc>
        <w:tc>
          <w:tcPr>
            <w:tcW w:type="dxa" w:w="5040"/>
          </w:tcPr>
          <w:p>
            <w:pPr>
              <w:spacing w:after="40" w:before="40"/>
            </w:pPr>
            <w:r/>
            <w:r>
              <w:rPr>
                <w:rFonts w:ascii="Arial" w:hAnsi="Arial"/>
                <w:b w:val="0"/>
                <w:sz w:val="18"/>
              </w:rPr>
              <w:t>The NIIF loan is sized on market rents; unit mix tilted to 2BR and 1BR+den; commercial LOIs being pursued</w:t>
            </w:r>
          </w:p>
        </w:tc>
      </w:tr>
      <w:tr>
        <w:tc>
          <w:tcPr>
            <w:tcW w:type="dxa" w:w="3888"/>
          </w:tcPr>
          <w:p>
            <w:pPr>
              <w:spacing w:after="40" w:before="40"/>
            </w:pPr>
            <w:r/>
            <w:r>
              <w:rPr>
                <w:rFonts w:ascii="Arial" w:hAnsi="Arial"/>
                <w:b w:val="0"/>
                <w:sz w:val="18"/>
              </w:rPr>
              <w:t>Construction cost and escalation</w:t>
            </w:r>
          </w:p>
        </w:tc>
        <w:tc>
          <w:tcPr>
            <w:tcW w:type="dxa" w:w="5040"/>
          </w:tcPr>
          <w:p>
            <w:pPr>
              <w:spacing w:after="40" w:before="40"/>
            </w:pPr>
            <w:r/>
            <w:r>
              <w:rPr>
                <w:rFonts w:ascii="Arial" w:hAnsi="Arial"/>
                <w:b w:val="0"/>
                <w:sz w:val="18"/>
              </w:rPr>
              <w:t>12.5% contingency plus 6% escalation; third-party bids; structural study for the 1818 addition</w:t>
            </w:r>
          </w:p>
        </w:tc>
      </w:tr>
      <w:tr>
        <w:tc>
          <w:tcPr>
            <w:tcW w:type="dxa" w:w="3888"/>
          </w:tcPr>
          <w:p>
            <w:pPr>
              <w:spacing w:after="40" w:before="40"/>
            </w:pPr>
            <w:r/>
            <w:r>
              <w:rPr>
                <w:rFonts w:ascii="Arial" w:hAnsi="Arial"/>
                <w:b w:val="0"/>
                <w:sz w:val="18"/>
              </w:rPr>
              <w:t>Historic credit awards are competitive</w:t>
            </w:r>
          </w:p>
        </w:tc>
        <w:tc>
          <w:tcPr>
            <w:tcW w:type="dxa" w:w="5040"/>
          </w:tcPr>
          <w:p>
            <w:pPr>
              <w:spacing w:after="40" w:before="40"/>
            </w:pPr>
            <w:r/>
            <w:r>
              <w:rPr>
                <w:rFonts w:ascii="Arial" w:hAnsi="Arial"/>
                <w:b w:val="0"/>
                <w:sz w:val="18"/>
              </w:rPr>
              <w:t>Part 1 filings Q4 2026; MHT Small Commercial credit as fallback; NIIF bridge for timing</w:t>
            </w:r>
          </w:p>
        </w:tc>
      </w:tr>
      <w:tr>
        <w:tc>
          <w:tcPr>
            <w:tcW w:type="dxa" w:w="3888"/>
          </w:tcPr>
          <w:p>
            <w:pPr>
              <w:spacing w:after="40" w:before="40"/>
            </w:pPr>
            <w:r/>
            <w:r>
              <w:rPr>
                <w:rFonts w:ascii="Arial" w:hAnsi="Arial"/>
                <w:b w:val="0"/>
                <w:sz w:val="18"/>
              </w:rPr>
              <w:t>CHAP approval must precede work; program sunsets 12/31/2027</w:t>
            </w:r>
          </w:p>
        </w:tc>
        <w:tc>
          <w:tcPr>
            <w:tcW w:type="dxa" w:w="5040"/>
          </w:tcPr>
          <w:p>
            <w:pPr>
              <w:spacing w:after="40" w:before="40"/>
            </w:pPr>
            <w:r/>
            <w:r>
              <w:rPr>
                <w:rFonts w:ascii="Arial" w:hAnsi="Arial"/>
                <w:b w:val="0"/>
                <w:sz w:val="18"/>
              </w:rPr>
              <w:t>File for 1818 and 1820 this fall, before any work begins</w:t>
            </w:r>
          </w:p>
        </w:tc>
      </w:tr>
      <w:tr>
        <w:tc>
          <w:tcPr>
            <w:tcW w:type="dxa" w:w="3888"/>
          </w:tcPr>
          <w:p>
            <w:pPr>
              <w:spacing w:after="40" w:before="40"/>
            </w:pPr>
            <w:r/>
            <w:r>
              <w:rPr>
                <w:rFonts w:ascii="Arial" w:hAnsi="Arial"/>
                <w:b w:val="0"/>
                <w:sz w:val="18"/>
              </w:rPr>
              <w:t>Grant eligibility (CDO-only programs)</w:t>
            </w:r>
          </w:p>
        </w:tc>
        <w:tc>
          <w:tcPr>
            <w:tcW w:type="dxa" w:w="5040"/>
          </w:tcPr>
          <w:p>
            <w:pPr>
              <w:spacing w:after="40" w:before="40"/>
            </w:pPr>
            <w:r/>
            <w:r>
              <w:rPr>
                <w:rFonts w:ascii="Arial" w:hAnsi="Arial"/>
                <w:b w:val="0"/>
                <w:sz w:val="18"/>
              </w:rPr>
              <w:t>Apply with Central Baltimore Partnership; confirm BRNI status with DHCD</w:t>
            </w:r>
          </w:p>
        </w:tc>
      </w:tr>
      <w:tr>
        <w:tc>
          <w:tcPr>
            <w:tcW w:type="dxa" w:w="3888"/>
          </w:tcPr>
          <w:p>
            <w:pPr>
              <w:spacing w:after="40" w:before="40"/>
            </w:pPr>
            <w:r/>
            <w:r>
              <w:rPr>
                <w:rFonts w:ascii="Arial" w:hAnsi="Arial"/>
                <w:b w:val="0"/>
                <w:sz w:val="18"/>
              </w:rPr>
              <w:t>Opportunity Zone map change in 2027</w:t>
            </w:r>
          </w:p>
        </w:tc>
        <w:tc>
          <w:tcPr>
            <w:tcW w:type="dxa" w:w="5040"/>
          </w:tcPr>
          <w:p>
            <w:pPr>
              <w:spacing w:after="40" w:before="40"/>
            </w:pPr>
            <w:r/>
            <w:r>
              <w:rPr>
                <w:rFonts w:ascii="Arial" w:hAnsi="Arial"/>
                <w:b w:val="0"/>
                <w:sz w:val="18"/>
              </w:rPr>
              <w:t>Current map valid through 2028; OZ equity is not in the base case</w:t>
            </w:r>
          </w:p>
        </w:tc>
      </w:tr>
      <w:tr>
        <w:tc>
          <w:tcPr>
            <w:tcW w:type="dxa" w:w="3888"/>
          </w:tcPr>
          <w:p>
            <w:pPr>
              <w:spacing w:after="40" w:before="40"/>
            </w:pPr>
            <w:r/>
            <w:r>
              <w:rPr>
                <w:rFonts w:ascii="Arial" w:hAnsi="Arial"/>
                <w:b w:val="0"/>
                <w:sz w:val="18"/>
              </w:rPr>
              <w:t>Rear decks: setback, CHAP and grilling rules</w:t>
            </w:r>
          </w:p>
        </w:tc>
        <w:tc>
          <w:tcPr>
            <w:tcW w:type="dxa" w:w="5040"/>
          </w:tcPr>
          <w:p>
            <w:pPr>
              <w:spacing w:after="40" w:before="40"/>
            </w:pPr>
            <w:r/>
            <w:r>
              <w:rPr>
                <w:rFonts w:ascii="Arial" w:hAnsi="Arial"/>
                <w:b w:val="0"/>
                <w:sz w:val="18"/>
              </w:rPr>
              <w:t>Zoning and CHAP review; electric-only outdoor kitchens per Fire Code §308; Fire Marshal confirmation</w:t>
            </w:r>
          </w:p>
        </w:tc>
      </w:tr>
      <w:tr>
        <w:tc>
          <w:tcPr>
            <w:tcW w:type="dxa" w:w="3888"/>
          </w:tcPr>
          <w:p>
            <w:pPr>
              <w:spacing w:after="40" w:before="40"/>
            </w:pPr>
            <w:r/>
            <w:r>
              <w:rPr>
                <w:rFonts w:ascii="Arial" w:hAnsi="Arial"/>
                <w:b w:val="0"/>
                <w:sz w:val="18"/>
              </w:rPr>
              <w:t>Related-party general contractor</w:t>
            </w:r>
          </w:p>
        </w:tc>
        <w:tc>
          <w:tcPr>
            <w:tcW w:type="dxa" w:w="5040"/>
          </w:tcPr>
          <w:p>
            <w:pPr>
              <w:spacing w:after="40" w:before="40"/>
            </w:pPr>
            <w:r/>
            <w:r>
              <w:rPr>
                <w:rFonts w:ascii="Arial" w:hAnsi="Arial"/>
                <w:b w:val="0"/>
                <w:sz w:val="18"/>
              </w:rPr>
              <w:t>8% fee disclosed; open-book costs; third-party draw inspections</w:t>
            </w:r>
          </w:p>
        </w:tc>
      </w:tr>
    </w:tbl>
    <w:p>
      <w:pPr>
        <w:spacing w:after="120" w:before="0"/>
      </w:pPr>
      <w:r>
        <w:rPr>
          <w:b w:val="0"/>
          <w:i w:val="0"/>
          <w:sz w:val="8"/>
        </w:rPr>
      </w:r>
    </w:p>
    <w:p>
      <w:pPr>
        <w:pStyle w:val="Heading1"/>
        <w:keepNext/>
        <w:spacing w:after="120" w:before="320"/>
      </w:pPr>
      <w:r>
        <w:rPr>
          <w:rFonts w:ascii="Arial" w:hAnsi="Arial"/>
          <w:b/>
          <w:i w:val="0"/>
          <w:color w:val="1F2A44"/>
          <w:sz w:val="30"/>
        </w:rPr>
        <w:t>12. Requests to BDC</w:t>
      </w:r>
    </w:p>
    <w:p>
      <w:pPr>
        <w:pStyle w:val="ListBullet"/>
        <w:spacing w:after="60"/>
      </w:pPr>
      <w:r>
        <w:rPr>
          <w:rFonts w:ascii="Arial" w:hAnsi="Arial"/>
          <w:sz w:val="21"/>
        </w:rPr>
        <w:t>Board approval to move forward on 1820 with LLAYD / Tyjuan Amor LLC (ENP → LDA) at the offered price and terms.</w:t>
      </w:r>
    </w:p>
    <w:p>
      <w:pPr>
        <w:pStyle w:val="ListBullet"/>
        <w:spacing w:after="60"/>
      </w:pPr>
      <w:r>
        <w:rPr>
          <w:rFonts w:ascii="Arial" w:hAnsi="Arial"/>
          <w:sz w:val="21"/>
        </w:rPr>
        <w:t>Gap participation of $943,874 as deferred subordinate financing, or an equivalent grant.</w:t>
      </w:r>
    </w:p>
    <w:p>
      <w:pPr>
        <w:pStyle w:val="ListBullet"/>
        <w:spacing w:after="60"/>
      </w:pPr>
      <w:r>
        <w:rPr>
          <w:rFonts w:ascii="Arial" w:hAnsi="Arial"/>
          <w:sz w:val="21"/>
        </w:rPr>
        <w:t>Rehabilitation Façade Improvement Grants for 1818 and 1820, and Enterprise Zone coordination on the commercial space.</w:t>
      </w:r>
    </w:p>
    <w:p>
      <w:pPr>
        <w:pStyle w:val="ListBullet"/>
        <w:spacing w:after="60"/>
      </w:pPr>
      <w:r>
        <w:rPr>
          <w:rFonts w:ascii="Arial" w:hAnsi="Arial"/>
          <w:sz w:val="21"/>
        </w:rPr>
        <w:t>Letters of support for the 2027 District 40 bond bill and the DHCD applications.</w:t>
      </w:r>
    </w:p>
    <w:p>
      <w:pPr>
        <w:pStyle w:val="Heading2"/>
        <w:keepNext/>
        <w:spacing w:after="80" w:before="240"/>
      </w:pPr>
      <w:r>
        <w:rPr>
          <w:rFonts w:ascii="Arial" w:hAnsi="Arial"/>
          <w:b/>
          <w:i w:val="0"/>
          <w:color w:val="1F2A44"/>
          <w:sz w:val="23"/>
        </w:rPr>
        <w:t>Timeline</w:t>
      </w:r>
    </w:p>
    <w:tbl>
      <w:tblPr>
        <w:tblStyle w:val="TableGrid"/>
        <w:tblW w:type="auto" w:w="0"/>
        <w:jc w:val="center"/>
        <w:tblLook w:firstColumn="1" w:firstRow="1" w:lastColumn="0" w:lastRow="0" w:noHBand="0" w:noVBand="1" w:val="04A0"/>
      </w:tblPr>
      <w:tblGrid>
        <w:gridCol w:w="4824"/>
        <w:gridCol w:w="4824"/>
      </w:tblGrid>
      <w:tr>
        <w:tc>
          <w:tcPr>
            <w:tcW w:type="dxa" w:w="2304"/>
            <w:shd w:val="clear" w:fill="1F2A44"/>
          </w:tcPr>
          <w:p>
            <w:r/>
            <w:r>
              <w:rPr>
                <w:rFonts w:ascii="Arial" w:hAnsi="Arial"/>
                <w:b/>
                <w:color w:val="FFFFFF"/>
                <w:sz w:val="18"/>
              </w:rPr>
              <w:t>Date</w:t>
            </w:r>
          </w:p>
        </w:tc>
        <w:tc>
          <w:tcPr>
            <w:tcW w:type="dxa" w:w="6624"/>
            <w:shd w:val="clear" w:fill="1F2A44"/>
          </w:tcPr>
          <w:p>
            <w:r/>
            <w:r>
              <w:rPr>
                <w:rFonts w:ascii="Arial" w:hAnsi="Arial"/>
                <w:b/>
                <w:color w:val="FFFFFF"/>
                <w:sz w:val="18"/>
              </w:rPr>
              <w:t>Action</w:t>
            </w:r>
          </w:p>
        </w:tc>
      </w:tr>
      <w:tr>
        <w:tc>
          <w:tcPr>
            <w:tcW w:type="dxa" w:w="2304"/>
          </w:tcPr>
          <w:p>
            <w:pPr>
              <w:spacing w:after="40" w:before="40"/>
            </w:pPr>
            <w:r/>
            <w:r>
              <w:rPr>
                <w:rFonts w:ascii="Arial" w:hAnsi="Arial"/>
                <w:b w:val="0"/>
                <w:sz w:val="18"/>
              </w:rPr>
              <w:t>September 18, 2026</w:t>
            </w:r>
          </w:p>
        </w:tc>
        <w:tc>
          <w:tcPr>
            <w:tcW w:type="dxa" w:w="6624"/>
          </w:tcPr>
          <w:p>
            <w:pPr>
              <w:spacing w:after="40" w:before="40"/>
            </w:pPr>
            <w:r/>
            <w:r>
              <w:rPr>
                <w:rFonts w:ascii="Arial" w:hAnsi="Arial"/>
                <w:b w:val="0"/>
                <w:sz w:val="18"/>
              </w:rPr>
              <w:t>BDC and NIIF materials submitted</w:t>
            </w:r>
          </w:p>
        </w:tc>
      </w:tr>
      <w:tr>
        <w:tc>
          <w:tcPr>
            <w:tcW w:type="dxa" w:w="2304"/>
          </w:tcPr>
          <w:p>
            <w:pPr>
              <w:spacing w:after="40" w:before="40"/>
            </w:pPr>
            <w:r/>
            <w:r>
              <w:rPr>
                <w:rFonts w:ascii="Arial" w:hAnsi="Arial"/>
                <w:b w:val="0"/>
                <w:sz w:val="18"/>
              </w:rPr>
              <w:t>October 2026</w:t>
            </w:r>
          </w:p>
        </w:tc>
        <w:tc>
          <w:tcPr>
            <w:tcW w:type="dxa" w:w="6624"/>
          </w:tcPr>
          <w:p>
            <w:pPr>
              <w:spacing w:after="40" w:before="40"/>
            </w:pPr>
            <w:r/>
            <w:r>
              <w:rPr>
                <w:rFonts w:ascii="Arial" w:hAnsi="Arial"/>
                <w:b w:val="0"/>
                <w:sz w:val="18"/>
              </w:rPr>
              <w:t>NIIF intake and site visit; CHAP pre-application; MHT/NPS Part 1</w:t>
            </w:r>
          </w:p>
        </w:tc>
      </w:tr>
      <w:tr>
        <w:tc>
          <w:tcPr>
            <w:tcW w:type="dxa" w:w="2304"/>
          </w:tcPr>
          <w:p>
            <w:pPr>
              <w:spacing w:after="40" w:before="40"/>
            </w:pPr>
            <w:r/>
            <w:r>
              <w:rPr>
                <w:rFonts w:ascii="Arial" w:hAnsi="Arial"/>
                <w:b w:val="0"/>
                <w:sz w:val="18"/>
              </w:rPr>
              <w:t>October 19, 2026</w:t>
            </w:r>
          </w:p>
        </w:tc>
        <w:tc>
          <w:tcPr>
            <w:tcW w:type="dxa" w:w="6624"/>
          </w:tcPr>
          <w:p>
            <w:pPr>
              <w:spacing w:after="40" w:before="40"/>
            </w:pPr>
            <w:r/>
            <w:r>
              <w:rPr>
                <w:rFonts w:ascii="Arial" w:hAnsi="Arial"/>
                <w:b w:val="0"/>
                <w:sz w:val="18"/>
              </w:rPr>
              <w:t>District 40 bond bill information session</w:t>
            </w:r>
          </w:p>
        </w:tc>
      </w:tr>
      <w:tr>
        <w:tc>
          <w:tcPr>
            <w:tcW w:type="dxa" w:w="2304"/>
          </w:tcPr>
          <w:p>
            <w:pPr>
              <w:spacing w:after="40" w:before="40"/>
            </w:pPr>
            <w:r/>
            <w:r>
              <w:rPr>
                <w:rFonts w:ascii="Arial" w:hAnsi="Arial"/>
                <w:b w:val="0"/>
                <w:sz w:val="18"/>
              </w:rPr>
              <w:t>November 23, 2026</w:t>
            </w:r>
          </w:p>
        </w:tc>
        <w:tc>
          <w:tcPr>
            <w:tcW w:type="dxa" w:w="6624"/>
          </w:tcPr>
          <w:p>
            <w:pPr>
              <w:spacing w:after="40" w:before="40"/>
            </w:pPr>
            <w:r/>
            <w:r>
              <w:rPr>
                <w:rFonts w:ascii="Arial" w:hAnsi="Arial"/>
                <w:b w:val="0"/>
                <w:sz w:val="18"/>
              </w:rPr>
              <w:t>District 40 bond bill application due (presentations November 30)</w:t>
            </w:r>
          </w:p>
        </w:tc>
      </w:tr>
      <w:tr>
        <w:tc>
          <w:tcPr>
            <w:tcW w:type="dxa" w:w="2304"/>
          </w:tcPr>
          <w:p>
            <w:pPr>
              <w:spacing w:after="40" w:before="40"/>
            </w:pPr>
            <w:r/>
            <w:r>
              <w:rPr>
                <w:rFonts w:ascii="Arial" w:hAnsi="Arial"/>
                <w:b w:val="0"/>
                <w:sz w:val="18"/>
              </w:rPr>
              <w:t>Q4 2026</w:t>
            </w:r>
          </w:p>
        </w:tc>
        <w:tc>
          <w:tcPr>
            <w:tcW w:type="dxa" w:w="6624"/>
          </w:tcPr>
          <w:p>
            <w:pPr>
              <w:spacing w:after="40" w:before="40"/>
            </w:pPr>
            <w:r/>
            <w:r>
              <w:rPr>
                <w:rFonts w:ascii="Arial" w:hAnsi="Arial"/>
                <w:b w:val="0"/>
                <w:sz w:val="18"/>
              </w:rPr>
              <w:t>BDC board; ENP; right of entry; survey, Phase I, structural study</w:t>
            </w:r>
          </w:p>
        </w:tc>
      </w:tr>
      <w:tr>
        <w:tc>
          <w:tcPr>
            <w:tcW w:type="dxa" w:w="2304"/>
          </w:tcPr>
          <w:p>
            <w:pPr>
              <w:spacing w:after="40" w:before="40"/>
            </w:pPr>
            <w:r/>
            <w:r>
              <w:rPr>
                <w:rFonts w:ascii="Arial" w:hAnsi="Arial"/>
                <w:b w:val="0"/>
                <w:sz w:val="18"/>
              </w:rPr>
              <w:t>Q1–Q2 2027</w:t>
            </w:r>
          </w:p>
        </w:tc>
        <w:tc>
          <w:tcPr>
            <w:tcW w:type="dxa" w:w="6624"/>
          </w:tcPr>
          <w:p>
            <w:pPr>
              <w:spacing w:after="40" w:before="40"/>
            </w:pPr>
            <w:r/>
            <w:r>
              <w:rPr>
                <w:rFonts w:ascii="Arial" w:hAnsi="Arial"/>
                <w:b w:val="0"/>
                <w:sz w:val="18"/>
              </w:rPr>
              <w:t>LDA; design and permits; NIIF commitment; 1816 certificate of occupancy and refinance</w:t>
            </w:r>
          </w:p>
        </w:tc>
      </w:tr>
      <w:tr>
        <w:tc>
          <w:tcPr>
            <w:tcW w:type="dxa" w:w="2304"/>
          </w:tcPr>
          <w:p>
            <w:pPr>
              <w:spacing w:after="40" w:before="40"/>
            </w:pPr>
            <w:r/>
            <w:r>
              <w:rPr>
                <w:rFonts w:ascii="Arial" w:hAnsi="Arial"/>
                <w:b w:val="0"/>
                <w:sz w:val="18"/>
              </w:rPr>
              <w:t>June–August 2027</w:t>
            </w:r>
          </w:p>
        </w:tc>
        <w:tc>
          <w:tcPr>
            <w:tcW w:type="dxa" w:w="6624"/>
          </w:tcPr>
          <w:p>
            <w:pPr>
              <w:spacing w:after="40" w:before="40"/>
            </w:pPr>
            <w:r/>
            <w:r>
              <w:rPr>
                <w:rFonts w:ascii="Arial" w:hAnsi="Arial"/>
                <w:b w:val="0"/>
                <w:sz w:val="18"/>
              </w:rPr>
              <w:t>MHT competitive credit round; BRNI FY2029 round</w:t>
            </w:r>
          </w:p>
        </w:tc>
      </w:tr>
      <w:tr>
        <w:tc>
          <w:tcPr>
            <w:tcW w:type="dxa" w:w="2304"/>
          </w:tcPr>
          <w:p>
            <w:pPr>
              <w:spacing w:after="40" w:before="40"/>
            </w:pPr>
            <w:r/>
            <w:r>
              <w:rPr>
                <w:rFonts w:ascii="Arial" w:hAnsi="Arial"/>
                <w:b w:val="0"/>
                <w:sz w:val="18"/>
              </w:rPr>
              <w:t>July 2027</w:t>
            </w:r>
          </w:p>
        </w:tc>
        <w:tc>
          <w:tcPr>
            <w:tcW w:type="dxa" w:w="6624"/>
          </w:tcPr>
          <w:p>
            <w:pPr>
              <w:spacing w:after="40" w:before="40"/>
            </w:pPr>
            <w:r/>
            <w:r>
              <w:rPr>
                <w:rFonts w:ascii="Arial" w:hAnsi="Arial"/>
                <w:b w:val="0"/>
                <w:sz w:val="18"/>
              </w:rPr>
              <w:t>Phase 2 construction start (18 months, Tyjuan Amor LLC as GC)</w:t>
            </w:r>
          </w:p>
        </w:tc>
      </w:tr>
      <w:tr>
        <w:tc>
          <w:tcPr>
            <w:tcW w:type="dxa" w:w="2304"/>
          </w:tcPr>
          <w:p>
            <w:pPr>
              <w:spacing w:after="40" w:before="40"/>
            </w:pPr>
            <w:r/>
            <w:r>
              <w:rPr>
                <w:rFonts w:ascii="Arial" w:hAnsi="Arial"/>
                <w:b w:val="0"/>
                <w:sz w:val="18"/>
              </w:rPr>
              <w:t>2029</w:t>
            </w:r>
          </w:p>
        </w:tc>
        <w:tc>
          <w:tcPr>
            <w:tcW w:type="dxa" w:w="6624"/>
          </w:tcPr>
          <w:p>
            <w:pPr>
              <w:spacing w:after="40" w:before="40"/>
            </w:pPr>
            <w:r/>
            <w:r>
              <w:rPr>
                <w:rFonts w:ascii="Arial" w:hAnsi="Arial"/>
                <w:b w:val="0"/>
                <w:sz w:val="18"/>
              </w:rPr>
              <w:t>Full mansion stabilized — pro forma Year 1</w:t>
            </w:r>
          </w:p>
        </w:tc>
      </w:tr>
    </w:tbl>
    <w:p>
      <w:pPr>
        <w:spacing w:after="120" w:before="0"/>
      </w:pPr>
      <w:r>
        <w:rPr>
          <w:b w:val="0"/>
          <w:i w:val="0"/>
          <w:sz w:val="8"/>
        </w:rPr>
      </w:r>
    </w:p>
    <w:p>
      <w:pPr>
        <w:spacing w:after="160" w:before="0"/>
      </w:pPr>
      <w:r>
        <w:rPr>
          <w:b w:val="0"/>
          <w:i w:val="0"/>
          <w:sz w:val="21"/>
        </w:rPr>
      </w:r>
    </w:p>
    <w:p>
      <w:pPr>
        <w:spacing w:after="160" w:before="0"/>
      </w:pPr>
      <w:r>
        <w:rPr>
          <w:b w:val="0"/>
          <w:i/>
          <w:color w:val="595959"/>
          <w:sz w:val="18"/>
        </w:rPr>
        <w:t>Prepared by Live Life As You Dream (LLAYD) LLC and Tyjuan Amor LLC for the Baltimore Development Corporation and the Neighborhood Impact Investment Fund. Contact: Bradford T. Phillips, Owner &amp; Founder, LLAYD LLC. Supporting pages, research appendices and the interactive underwriting dashboard are at llayd.net/bdc.</w:t>
      </w:r>
    </w:p>
    <w:sectPr w:rsidR="00FC693F" w:rsidRPr="0006063C" w:rsidSect="00034616">
      <w:pgSz w:w="12240" w:h="15840"/>
      <w:pgMar w:top="1296"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