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742"/>
      </w:tblGrid>
      <w:tr>
        <w:tc>
          <w:tcPr>
            <w:tcW w:type="dxa" w:w="10742"/>
            <w:shd w:fill="13233F"/>
            <w:tcMar>
              <w:top w:w="170" w:type="dxa"/>
              <w:start w:w="190" w:type="dxa"/>
              <w:bottom w:w="150" w:type="dxa"/>
              <w:end w:w="190" w:type="dxa"/>
            </w:tcMar>
          </w:tcPr>
          <w:p>
            <w:pPr>
              <w:spacing w:after="60"/>
            </w:pPr>
            <w:r>
              <w:rPr>
                <w:rFonts w:ascii="Arial" w:hAnsi="Arial"/>
                <w:b/>
                <w:i w:val="0"/>
                <w:color w:val="FFFFFF"/>
                <w:sz w:val="36"/>
              </w:rPr>
              <w:t>SDR CREATIVE SOLUTIONS LLC</w:t>
            </w:r>
          </w:p>
          <w:p>
            <w:pPr>
              <w:spacing w:after="40"/>
            </w:pPr>
            <w:r>
              <w:rPr>
                <w:rFonts w:ascii="Arial" w:hAnsi="Arial"/>
                <w:b/>
                <w:i w:val="0"/>
                <w:color w:val="C99A43"/>
                <w:sz w:val="20"/>
              </w:rPr>
              <w:t>AI ADOPTION  •  WORKFLOW MODERNIZATION  •  WORKFORCE ENABLEMENT</w:t>
            </w:r>
          </w:p>
          <w:p>
            <w:pPr>
              <w:spacing w:after="0"/>
            </w:pPr>
            <w:r>
              <w:rPr>
                <w:rFonts w:ascii="Arial" w:hAnsi="Arial"/>
                <w:b w:val="0"/>
                <w:i/>
                <w:color w:val="FFFFFF"/>
                <w:sz w:val="17"/>
              </w:rPr>
              <w:t>Practical AI strategy, implementation and training for mission-focused organizations</w:t>
            </w:r>
          </w:p>
        </w:tc>
      </w:tr>
    </w:tbl>
    <w:p>
      <w:pPr>
        <w:spacing w:after="2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552"/>
        <w:gridCol w:w="3960"/>
      </w:tblGrid>
      <w:tr>
        <w:tc>
          <w:tcPr>
            <w:tcW w:type="dxa" w:w="5371"/>
            <w:tcMar>
              <w:top w:w="20" w:type="dxa"/>
              <w:start w:w="0" w:type="dxa"/>
              <w:bottom w:w="20" w:type="dxa"/>
              <w:end w:w="150" w:type="dxa"/>
            </w:tcMar>
          </w:tcPr>
          <w:p>
            <w:pPr>
              <w:spacing w:after="60"/>
            </w:pPr>
            <w:r>
              <w:rPr>
                <w:rFonts w:ascii="Inter" w:hAnsi="Inter"/>
                <w:b/>
                <w:sz w:val="19"/>
              </w:rPr>
            </w:r>
            <w:r>
              <w:rPr>
                <w:rFonts w:ascii="Inter" w:hAnsi="Inter"/>
                <w:b/>
                <w:sz w:val="19"/>
              </w:rPr>
              <w:t>COMPANY OVERVIEW</w:t>
            </w:r>
          </w:p>
          <w:p>
            <w:pPr>
              <w:spacing w:after="50"/>
            </w:pPr>
            <w:r>
              <w:rPr>
                <w:rFonts w:ascii="Inter" w:hAnsi="Inter"/>
                <w:sz w:val="16"/>
              </w:rPr>
              <w:t>SDR Creative Solutions LLC helps organizations identify where AI and automation can improve operations, then supports implementation and workforce adoption. We combine operational insight, workflow modernization, practical AI solutions, and plain-language training so teams can move from experimentation to repeatable, usable processes.</w:t>
            </w:r>
          </w:p>
          <w:p>
            <w:pPr>
              <w:spacing w:after="60"/>
            </w:pPr>
            <w:r>
              <w:rPr>
                <w:rFonts w:ascii="Inter" w:hAnsi="Inter"/>
                <w:b/>
                <w:sz w:val="19"/>
              </w:rPr>
              <w:t>CORE COMPETENCIES</w:t>
            </w:r>
          </w:p>
          <w:p>
            <w:pPr>
              <w:spacing w:after="50"/>
            </w:pPr>
            <w:r>
              <w:rPr>
                <w:rFonts w:ascii="Inter" w:hAnsi="Inter"/>
                <w:sz w:val="16"/>
              </w:rPr>
              <w:t>•  AI adoption strategy, AI literacy, and opportunity assessments for leadership and non-technical workforces</w:t>
            </w:r>
          </w:p>
          <w:p>
            <w:pPr>
              <w:spacing w:after="50"/>
            </w:pPr>
            <w:r>
              <w:rPr>
                <w:rFonts w:ascii="Inter" w:hAnsi="Inter"/>
                <w:sz w:val="16"/>
              </w:rPr>
              <w:t>•  Workflow and process modernization, including CRM workflows, follow-up sequencing, internal notifications, and repetitive-task automation</w:t>
            </w:r>
          </w:p>
          <w:p>
            <w:pPr>
              <w:spacing w:after="50"/>
            </w:pPr>
            <w:r>
              <w:rPr>
                <w:rFonts w:ascii="Inter" w:hAnsi="Inter"/>
                <w:sz w:val="16"/>
              </w:rPr>
              <w:t>•  Workforce enablement, AI literacy training, technical training, curriculum development, and live workshops</w:t>
            </w:r>
          </w:p>
          <w:p>
            <w:pPr>
              <w:spacing w:after="50"/>
            </w:pPr>
            <w:r>
              <w:rPr>
                <w:rFonts w:ascii="Inter" w:hAnsi="Inter"/>
                <w:sz w:val="16"/>
              </w:rPr>
              <w:t>•  AI-powered communication systems, including virtual receptionists, call handling, lead capture, appointment scheduling, and website chatbots</w:t>
            </w:r>
          </w:p>
          <w:p>
            <w:pPr>
              <w:spacing w:after="50"/>
            </w:pPr>
            <w:r>
              <w:rPr>
                <w:rFonts w:ascii="Inter" w:hAnsi="Inter"/>
                <w:sz w:val="16"/>
              </w:rPr>
              <w:t>•  Reporting dashboards and operational visibility to support clearer decisions and consistent execution</w:t>
            </w:r>
          </w:p>
          <w:p>
            <w:pPr>
              <w:spacing w:after="60"/>
            </w:pPr>
            <w:r>
              <w:rPr>
                <w:rFonts w:ascii="Inter" w:hAnsi="Inter"/>
                <w:b/>
                <w:sz w:val="19"/>
              </w:rPr>
              <w:t>DIFFERENTIATORS</w:t>
            </w:r>
          </w:p>
          <w:p>
            <w:pPr>
              <w:spacing w:after="50"/>
            </w:pPr>
            <w:r>
              <w:rPr>
                <w:rFonts w:ascii="Inter" w:hAnsi="Inter"/>
                <w:sz w:val="16"/>
              </w:rPr>
              <w:t>•  Operations-first perspective — practical solutions informed by 17+ years in program management, customer operations, training, implementation, and process execution</w:t>
            </w:r>
          </w:p>
          <w:p>
            <w:pPr>
              <w:spacing w:after="50"/>
            </w:pPr>
            <w:r>
              <w:rPr>
                <w:rFonts w:ascii="Inter" w:hAnsi="Inter"/>
                <w:sz w:val="16"/>
              </w:rPr>
              <w:t>•  Human-centered AI adoption — plain-language guidance designed for non-technical and skeptical users, not only IT teams</w:t>
            </w:r>
          </w:p>
          <w:p>
            <w:pPr>
              <w:spacing w:after="50"/>
            </w:pPr>
            <w:r>
              <w:rPr>
                <w:rFonts w:ascii="Inter" w:hAnsi="Inter"/>
                <w:sz w:val="16"/>
              </w:rPr>
              <w:t>•  Strategy through enablement — ability to assess opportunities, design workflows, implement solutions, document processes, and train end users</w:t>
            </w:r>
          </w:p>
          <w:p>
            <w:pPr>
              <w:spacing w:after="50"/>
            </w:pPr>
            <w:r>
              <w:rPr>
                <w:rFonts w:ascii="Inter" w:hAnsi="Inter"/>
                <w:sz w:val="16"/>
              </w:rPr>
              <w:t>•  Small-business agility — focused, hands-on support with solutions designed around operational needs rather than technology for technology’s sake</w:t>
            </w:r>
          </w:p>
          <w:p>
            <w:pPr>
              <w:spacing w:after="60"/>
            </w:pPr>
            <w:r>
              <w:rPr>
                <w:rFonts w:ascii="Inter" w:hAnsi="Inter"/>
                <w:b/>
                <w:sz w:val="19"/>
              </w:rPr>
              <w:t>EXPERIENCE &amp; TEAMING VALUE</w:t>
            </w:r>
          </w:p>
          <w:p>
            <w:pPr>
              <w:spacing w:after="50"/>
            </w:pPr>
            <w:r>
              <w:rPr>
                <w:rFonts w:ascii="Inter" w:hAnsi="Inter"/>
                <w:sz w:val="16"/>
              </w:rPr>
              <w:t>•  17+ years of operations, program management, workforce training, client service, process documentation, and implementation experience</w:t>
            </w:r>
          </w:p>
          <w:p>
            <w:pPr>
              <w:spacing w:after="50"/>
            </w:pPr>
            <w:r>
              <w:rPr>
                <w:rFonts w:ascii="Inter" w:hAnsi="Inter"/>
                <w:sz w:val="16"/>
              </w:rPr>
              <w:t>•  Practical AI adoption and AI literacy support designed for non-technical workforces</w:t>
            </w:r>
          </w:p>
          <w:p>
            <w:pPr>
              <w:spacing w:after="50"/>
            </w:pPr>
            <w:r>
              <w:rPr>
                <w:rFonts w:ascii="Inter" w:hAnsi="Inter"/>
                <w:sz w:val="16"/>
              </w:rPr>
              <w:t>•  WOSB/EDWOSB teaming partner for primes and technology providers seeking small-business participation and workforce enablement capabilities</w:t>
            </w:r>
          </w:p>
          <w:p>
            <w:pPr>
              <w:spacing w:after="50"/>
            </w:pPr>
            <w:r>
              <w:rPr>
                <w:rFonts w:ascii="Inter" w:hAnsi="Inter"/>
                <w:sz w:val="16"/>
              </w:rPr>
              <w:t>•  Available for subcontracting, teaming, training delivery, implementation support, and targeted pilot engagements</w:t>
            </w:r>
          </w:p>
        </w:tc>
        <w:tc>
          <w:tcPr>
            <w:tcW w:type="dxa" w:w="5371"/>
            <w:tcMar>
              <w:top w:w="80" w:type="dxa"/>
              <w:start w:w="150" w:type="dxa"/>
              <w:bottom w:w="80" w:type="dxa"/>
              <w:end w:w="150" w:type="dxa"/>
            </w:tcMar>
            <w:shd w:fill="F3F1EC"/>
            <w:vAlign w:val="top"/>
          </w:tcPr>
          <w:p>
            <w:pPr>
              <w:spacing w:after="60"/>
            </w:pPr>
            <w:r>
              <w:rPr>
                <w:rFonts w:ascii="Inter" w:hAnsi="Inter"/>
                <w:b/>
                <w:sz w:val="19"/>
              </w:rPr>
            </w:r>
            <w:r>
              <w:rPr>
                <w:rFonts w:ascii="Inter" w:hAnsi="Inter"/>
                <w:b/>
                <w:sz w:val="19"/>
              </w:rPr>
              <w:t>COMPANY DATA</w:t>
            </w:r>
          </w:p>
          <w:p>
            <w:pPr>
              <w:spacing w:after="50"/>
            </w:pPr>
            <w:r>
              <w:rPr>
                <w:rFonts w:ascii="Inter" w:hAnsi="Inter"/>
                <w:sz w:val="16"/>
              </w:rPr>
              <w:t>UEI: CU2DYZWPDFM7</w:t>
            </w:r>
          </w:p>
          <w:p>
            <w:pPr>
              <w:spacing w:after="50"/>
            </w:pPr>
            <w:r>
              <w:rPr>
                <w:rFonts w:ascii="Inter" w:hAnsi="Inter"/>
                <w:sz w:val="16"/>
              </w:rPr>
              <w:t>CAGE Code: 21PQ6</w:t>
            </w:r>
          </w:p>
          <w:p>
            <w:pPr>
              <w:spacing w:after="50"/>
            </w:pPr>
            <w:r>
              <w:rPr>
                <w:rFonts w:ascii="Inter" w:hAnsi="Inter"/>
                <w:sz w:val="16"/>
              </w:rPr>
              <w:t>SAM.gov: Active</w:t>
            </w:r>
          </w:p>
          <w:p>
            <w:pPr>
              <w:spacing w:after="50"/>
            </w:pPr>
            <w:r>
              <w:rPr>
                <w:rFonts w:ascii="Inter" w:hAnsi="Inter"/>
                <w:sz w:val="16"/>
              </w:rPr>
              <w:t>eVA Registration: Active</w:t>
            </w:r>
          </w:p>
          <w:p>
            <w:pPr>
              <w:spacing w:after="50"/>
            </w:pPr>
            <w:r>
              <w:rPr>
                <w:rFonts w:ascii="Inter" w:hAnsi="Inter"/>
                <w:sz w:val="16"/>
              </w:rPr>
              <w:t>Business Type: Small Business, LLC</w:t>
            </w:r>
          </w:p>
          <w:p>
            <w:pPr>
              <w:spacing w:after="50"/>
            </w:pPr>
            <w:r>
              <w:rPr>
                <w:rFonts w:ascii="Inter" w:hAnsi="Inter"/>
                <w:sz w:val="16"/>
              </w:rPr>
              <w:t>SBA Certifications: WOSB • EDWOSB</w:t>
            </w:r>
          </w:p>
          <w:p>
            <w:pPr>
              <w:spacing w:after="50"/>
            </w:pPr>
            <w:r>
              <w:rPr>
                <w:rFonts w:ascii="Inter" w:hAnsi="Inter"/>
                <w:sz w:val="16"/>
              </w:rPr>
              <w:t>Headquartered: Warrenton, VA</w:t>
            </w:r>
          </w:p>
          <w:p>
            <w:pPr>
              <w:spacing w:after="50"/>
            </w:pPr>
            <w:r>
              <w:rPr>
                <w:rFonts w:ascii="Inter" w:hAnsi="Inter"/>
                <w:sz w:val="16"/>
              </w:rPr>
              <w:t>Service Area: Nationwide</w:t>
            </w:r>
          </w:p>
          <w:p>
            <w:pPr>
              <w:spacing w:after="60"/>
            </w:pPr>
            <w:r>
              <w:rPr>
                <w:rFonts w:ascii="Inter" w:hAnsi="Inter"/>
                <w:b/>
                <w:sz w:val="19"/>
              </w:rPr>
              <w:t>NAICS CODES</w:t>
            </w:r>
          </w:p>
          <w:p>
            <w:pPr>
              <w:spacing w:after="50"/>
            </w:pPr>
            <w:r>
              <w:rPr>
                <w:rFonts w:ascii="Inter" w:hAnsi="Inter"/>
                <w:sz w:val="16"/>
              </w:rPr>
              <w:t>541611  Admin. &amp; General Mgmt. Consulting</w:t>
            </w:r>
          </w:p>
          <w:p>
            <w:pPr>
              <w:spacing w:after="50"/>
            </w:pPr>
            <w:r>
              <w:rPr>
                <w:rFonts w:ascii="Inter" w:hAnsi="Inter"/>
                <w:sz w:val="16"/>
              </w:rPr>
              <w:t>541512  Computer Systems Design</w:t>
            </w:r>
          </w:p>
          <w:p>
            <w:pPr>
              <w:spacing w:after="50"/>
            </w:pPr>
            <w:r>
              <w:rPr>
                <w:rFonts w:ascii="Inter" w:hAnsi="Inter"/>
                <w:sz w:val="16"/>
              </w:rPr>
              <w:t>541519  Other Computer Related Services</w:t>
            </w:r>
          </w:p>
          <w:p>
            <w:pPr>
              <w:spacing w:after="50"/>
            </w:pPr>
            <w:r>
              <w:rPr>
                <w:rFonts w:ascii="Inter" w:hAnsi="Inter"/>
                <w:sz w:val="16"/>
              </w:rPr>
              <w:t>541618  Other Management Consulting</w:t>
            </w:r>
          </w:p>
          <w:p>
            <w:pPr>
              <w:spacing w:after="50"/>
            </w:pPr>
            <w:r>
              <w:rPr>
                <w:rFonts w:ascii="Inter" w:hAnsi="Inter"/>
                <w:sz w:val="16"/>
              </w:rPr>
              <w:t>541690  Other Scientific &amp; Technical Consulting</w:t>
            </w:r>
          </w:p>
          <w:p>
            <w:pPr>
              <w:spacing w:after="50"/>
            </w:pPr>
            <w:r>
              <w:rPr>
                <w:rFonts w:ascii="Inter" w:hAnsi="Inter"/>
                <w:sz w:val="16"/>
              </w:rPr>
              <w:t>611430  Professional &amp; Mgmt. Development Training</w:t>
            </w:r>
          </w:p>
          <w:p>
            <w:pPr>
              <w:spacing w:after="60"/>
            </w:pPr>
            <w:r>
              <w:rPr>
                <w:rFonts w:ascii="Inter" w:hAnsi="Inter"/>
                <w:b/>
                <w:sz w:val="19"/>
              </w:rPr>
              <w:t>PRODUCT/SERVICE CODES</w:t>
            </w:r>
          </w:p>
          <w:p>
            <w:pPr>
              <w:spacing w:after="50"/>
            </w:pPr>
            <w:r>
              <w:rPr>
                <w:rFonts w:ascii="Inter" w:hAnsi="Inter"/>
                <w:sz w:val="16"/>
              </w:rPr>
              <w:t>DA01  IT/Telecom – App Development Support</w:t>
            </w:r>
          </w:p>
          <w:p>
            <w:pPr>
              <w:spacing w:after="50"/>
            </w:pPr>
            <w:r>
              <w:rPr>
                <w:rFonts w:ascii="Inter" w:hAnsi="Inter"/>
                <w:sz w:val="16"/>
              </w:rPr>
              <w:t>R408  Program Management Support</w:t>
            </w:r>
          </w:p>
          <w:p>
            <w:pPr>
              <w:spacing w:after="50"/>
            </w:pPr>
            <w:r>
              <w:rPr>
                <w:rFonts w:ascii="Inter" w:hAnsi="Inter"/>
                <w:sz w:val="16"/>
              </w:rPr>
              <w:t>R425  Engineering/Technical Support</w:t>
            </w:r>
          </w:p>
          <w:p>
            <w:pPr>
              <w:spacing w:after="50"/>
            </w:pPr>
            <w:r>
              <w:rPr>
                <w:rFonts w:ascii="Inter" w:hAnsi="Inter"/>
                <w:sz w:val="16"/>
              </w:rPr>
              <w:t>R499  Other Professional Support</w:t>
            </w:r>
          </w:p>
          <w:p>
            <w:pPr>
              <w:spacing w:after="50"/>
            </w:pPr>
            <w:r>
              <w:rPr>
                <w:rFonts w:ascii="Inter" w:hAnsi="Inter"/>
                <w:sz w:val="16"/>
              </w:rPr>
              <w:t>U001  Education/Training – Lectures</w:t>
            </w:r>
          </w:p>
          <w:p>
            <w:pPr>
              <w:spacing w:after="50"/>
            </w:pPr>
            <w:r>
              <w:rPr>
                <w:rFonts w:ascii="Inter" w:hAnsi="Inter"/>
                <w:sz w:val="16"/>
              </w:rPr>
              <w:t>U008  Training/Curriculum Development</w:t>
            </w:r>
          </w:p>
          <w:p>
            <w:pPr>
              <w:spacing w:after="60"/>
            </w:pPr>
            <w:r>
              <w:rPr>
                <w:rFonts w:ascii="Inter" w:hAnsi="Inter"/>
                <w:b/>
                <w:sz w:val="19"/>
              </w:rPr>
              <w:t>FEDERAL TEAMING READINESS</w:t>
            </w:r>
          </w:p>
          <w:p>
            <w:pPr>
              <w:spacing w:after="50"/>
            </w:pPr>
            <w:r>
              <w:rPr>
                <w:rFonts w:ascii="Inter" w:hAnsi="Inter"/>
                <w:sz w:val="16"/>
              </w:rPr>
              <w:t>SAM.gov active • WOSB/EDWOSB certified • Available for nationwide teaming and subcontract support</w:t>
            </w:r>
          </w:p>
        </w:tc>
      </w:tr>
    </w:tbl>
    <w:p>
      <w:pPr>
        <w:spacing w:after="0"/>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10742"/>
      </w:tblGrid>
      <w:tr>
        <w:tc>
          <w:tcPr>
            <w:tcW w:type="dxa" w:w="10742"/>
            <w:shd w:fill="13233F"/>
            <w:tcMar>
              <w:top w:w="85" w:type="dxa"/>
              <w:start w:w="120" w:type="dxa"/>
              <w:bottom w:w="85" w:type="dxa"/>
              <w:end w:w="120" w:type="dxa"/>
            </w:tcMar>
          </w:tcPr>
          <w:p>
            <w:pPr>
              <w:jc w:val="center"/>
            </w:pPr>
            <w:r>
              <w:rPr>
                <w:rFonts w:ascii="Arial" w:hAnsi="Arial"/>
                <w:b w:val="0"/>
                <w:i w:val="0"/>
                <w:color w:val="FFFFFF"/>
                <w:sz w:val="16"/>
              </w:rPr>
              <w:t>Warrenton, VA  •  855-773-7314  •  support@sdrcreativesolutions.com  •  www.sdrcreativesolutions.com</w:t>
            </w:r>
          </w:p>
        </w:tc>
      </w:tr>
    </w:tbl>
    <w:sectPr w:rsidR="00FC693F" w:rsidRPr="0006063C" w:rsidSect="00034616">
      <w:pgSz w:w="12240" w:h="15840"/>
      <w:pgMar w:top="605" w:right="749" w:bottom="605"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