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40"/>
        <w:jc w:val="center"/>
        <w:rPr/>
      </w:pPr>
      <w:r>
        <w:rPr>
          <w:rFonts w:eastAsia="Calibri" w:cs="Calibri"/>
          <w:b/>
          <w:bCs/>
          <w:color w:val="8B6914"/>
          <w:sz w:val="18"/>
          <w:szCs w:val="18"/>
        </w:rPr>
        <w:t>DOCUMENT 1 OF 3 — REVISED</w:t>
      </w:r>
    </w:p>
    <w:p>
      <w:pPr>
        <w:pStyle w:val="Normal"/>
        <w:spacing w:lineRule="auto" w:line="276" w:before="20" w:after="40"/>
        <w:jc w:val="center"/>
        <w:rPr/>
      </w:pPr>
      <w:r>
        <w:rPr>
          <w:rFonts w:eastAsia="Calibri" w:cs="Calibri"/>
          <w:b/>
          <w:bCs/>
          <w:color w:val="1B365D"/>
          <w:sz w:val="34"/>
          <w:szCs w:val="34"/>
        </w:rPr>
        <w:t>SUMMARY OF PROPOSED BYLAWS AMENDMENTS</w:t>
      </w:r>
    </w:p>
    <w:p>
      <w:pPr>
        <w:pStyle w:val="Normal"/>
        <w:spacing w:lineRule="auto" w:line="276" w:before="0" w:after="160"/>
        <w:jc w:val="center"/>
        <w:rPr/>
      </w:pPr>
      <w:r>
        <w:rPr>
          <w:rFonts w:eastAsia="Calibri" w:cs="Calibri"/>
          <w:i/>
          <w:iCs/>
          <w:color w:val="4A4A4A"/>
          <w:sz w:val="20"/>
          <w:szCs w:val="20"/>
        </w:rPr>
        <w:t>Articles 6, 8, and 9  ·  MCL 168.599  ·  Precinct caucuses  ·  Appointed officers</w:t>
      </w:r>
    </w:p>
    <w:tbl>
      <w:tblPr>
        <w:tblW w:w="10224" w:type="dxa"/>
        <w:jc w:val="start"/>
        <w:tblInd w:w="0" w:type="dxa"/>
        <w:tblLayout w:type="fixed"/>
        <w:tblCellMar>
          <w:top w:w="60" w:type="dxa"/>
          <w:start w:w="80" w:type="dxa"/>
          <w:bottom w:w="60" w:type="dxa"/>
          <w:end w:w="80" w:type="dxa"/>
        </w:tblCellMar>
      </w:tblPr>
      <w:tblGrid>
        <w:gridCol w:w="2520"/>
        <w:gridCol w:w="7704"/>
      </w:tblGrid>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Prepared by</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Chair Kelly Harrison, Clare County Republican Committee</w:t>
            </w:r>
          </w:p>
        </w:tc>
      </w:tr>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This revision</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September 2, 2026. Good-standing definition and Treasurer dues-list language removed. Membership Committee continues to define good standing under current 6.5 and 10.11. The dues list will be handled as practice, not bylaw text.</w:t>
            </w:r>
          </w:p>
        </w:tc>
      </w:tr>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Legal notice</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Written notice under Article 14.1. A vote may not be taken sooner than one month after this package is presented.</w:t>
            </w:r>
          </w:p>
        </w:tc>
      </w:tr>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Vote required</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Majority of the total voting membership of the Executive Committee (Article 14.3).</w:t>
            </w:r>
          </w:p>
        </w:tc>
      </w:tr>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Scope of this vote</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Only Articles 6, 8, and 9 are open. Article 4 is not amended.</w:t>
            </w:r>
          </w:p>
        </w:tc>
      </w:tr>
      <w:tr>
        <w:trPr/>
        <w:tc>
          <w:tcPr>
            <w:tcW w:w="2520" w:type="dxa"/>
            <w:tcBorders>
              <w:top w:val="single" w:sz="4" w:space="0" w:color="CCCCCC"/>
              <w:start w:val="single" w:sz="4" w:space="0" w:color="CCCCCC"/>
              <w:bottom w:val="single" w:sz="4" w:space="0" w:color="CCCCCC"/>
              <w:end w:val="single" w:sz="4" w:space="0" w:color="CCCCCC"/>
            </w:tcBorders>
            <w:shd w:fill="E8EEF4" w:val="clear"/>
          </w:tcPr>
          <w:p>
            <w:pPr>
              <w:pStyle w:val="Normal"/>
              <w:spacing w:lineRule="auto" w:line="240" w:before="0" w:after="40"/>
              <w:jc w:val="start"/>
              <w:rPr/>
            </w:pPr>
            <w:r>
              <w:rPr>
                <w:rFonts w:eastAsia="Calibri" w:cs="Calibri"/>
                <w:b/>
                <w:bCs/>
                <w:color w:val="1B365D"/>
                <w:sz w:val="20"/>
                <w:szCs w:val="20"/>
              </w:rPr>
              <w:t>Effective date</w:t>
            </w:r>
          </w:p>
        </w:tc>
        <w:tc>
          <w:tcPr>
            <w:tcW w:w="7704"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Fall County Convention after the November 2026 general election. Current Delegate-Elected Members stay seated until that convention adjourns.</w:t>
            </w:r>
          </w:p>
        </w:tc>
      </w:tr>
    </w:tbl>
    <w:p>
      <w:pPr>
        <w:pStyle w:val="Normal"/>
        <w:pBdr>
          <w:bottom w:val="single" w:sz="12" w:space="4" w:color="1B365D"/>
        </w:pBdr>
        <w:spacing w:lineRule="auto" w:line="276" w:before="280" w:after="120"/>
        <w:jc w:val="start"/>
        <w:rPr/>
      </w:pPr>
      <w:r>
        <w:rPr>
          <w:rFonts w:eastAsia="Calibri" w:cs="Calibri"/>
          <w:b/>
          <w:bCs/>
          <w:color w:val="1B365D"/>
          <w:sz w:val="28"/>
          <w:szCs w:val="28"/>
        </w:rPr>
        <w:t>1. What this vote is — and is not</w:t>
      </w:r>
    </w:p>
    <w:p>
      <w:pPr>
        <w:pStyle w:val="Normal"/>
        <w:spacing w:lineRule="auto" w:line="276" w:before="80" w:after="80"/>
        <w:jc w:val="start"/>
        <w:rPr/>
      </w:pPr>
      <w:r>
        <w:rPr>
          <w:rFonts w:eastAsia="Calibri" w:cs="Calibri"/>
          <w:color w:val="222222"/>
          <w:sz w:val="22"/>
          <w:szCs w:val="22"/>
        </w:rPr>
        <w:t>This is a controlled amendment to three articles. It is not an open rewrite. The June 2026 narrative paper is not adopted. Document 2 is the text. Document 3 is the official book if Document 2 passes.</w:t>
      </w:r>
    </w:p>
    <w:p>
      <w:pPr>
        <w:pStyle w:val="Normal"/>
        <w:spacing w:lineRule="auto" w:line="276" w:before="80" w:after="80"/>
        <w:jc w:val="start"/>
        <w:rPr/>
      </w:pPr>
      <w:r>
        <w:rPr>
          <w:rFonts w:eastAsia="Calibri" w:cs="Calibri"/>
          <w:color w:val="222222"/>
          <w:sz w:val="22"/>
          <w:szCs w:val="22"/>
        </w:rPr>
        <w:t>Good standing stays with the Membership Committee under current 6.5 and 10.11. That subject is not in this motion. Unrelated articles stay closed.</w:t>
      </w:r>
    </w:p>
    <w:p>
      <w:pPr>
        <w:pStyle w:val="Normal"/>
        <w:pBdr>
          <w:bottom w:val="single" w:sz="12" w:space="4" w:color="1B365D"/>
        </w:pBdr>
        <w:spacing w:lineRule="auto" w:line="276" w:before="280" w:after="120"/>
        <w:jc w:val="start"/>
        <w:rPr/>
      </w:pPr>
      <w:r>
        <w:rPr>
          <w:rFonts w:eastAsia="Calibri" w:cs="Calibri"/>
          <w:b/>
          <w:bCs/>
          <w:color w:val="1B365D"/>
          <w:sz w:val="28"/>
          <w:szCs w:val="28"/>
        </w:rPr>
        <w:t>2. Committee decisions written into the text</w:t>
      </w:r>
    </w:p>
    <w:tbl>
      <w:tblPr>
        <w:tblW w:w="10224" w:type="dxa"/>
        <w:jc w:val="start"/>
        <w:tblInd w:w="0" w:type="dxa"/>
        <w:tblLayout w:type="fixed"/>
        <w:tblCellMar>
          <w:top w:w="60" w:type="dxa"/>
          <w:start w:w="80" w:type="dxa"/>
          <w:bottom w:w="60" w:type="dxa"/>
          <w:end w:w="80" w:type="dxa"/>
        </w:tblCellMar>
      </w:tblPr>
      <w:tblGrid>
        <w:gridCol w:w="2999"/>
        <w:gridCol w:w="7225"/>
      </w:tblGrid>
      <w:tr>
        <w:trPr/>
        <w:tc>
          <w:tcPr>
            <w:tcW w:w="2999" w:type="dxa"/>
            <w:tcBorders>
              <w:top w:val="single" w:sz="4" w:space="0" w:color="CCCCCC"/>
              <w:start w:val="single" w:sz="4" w:space="0" w:color="CCCCCC"/>
              <w:bottom w:val="single" w:sz="4" w:space="0" w:color="CCCCCC"/>
              <w:end w:val="single" w:sz="4" w:space="0" w:color="CCCCCC"/>
            </w:tcBorders>
            <w:shd w:fill="1B365D" w:val="clear"/>
          </w:tcPr>
          <w:p>
            <w:pPr>
              <w:pStyle w:val="Normal"/>
              <w:spacing w:lineRule="auto" w:line="240" w:before="0" w:after="40"/>
              <w:jc w:val="start"/>
              <w:rPr/>
            </w:pPr>
            <w:r>
              <w:rPr>
                <w:rFonts w:eastAsia="Calibri" w:cs="Calibri"/>
                <w:b/>
                <w:bCs/>
                <w:color w:val="FFFFFF"/>
                <w:sz w:val="20"/>
                <w:szCs w:val="20"/>
              </w:rPr>
              <w:t>Decision</w:t>
            </w:r>
          </w:p>
        </w:tc>
        <w:tc>
          <w:tcPr>
            <w:tcW w:w="7225" w:type="dxa"/>
            <w:tcBorders>
              <w:top w:val="single" w:sz="4" w:space="0" w:color="CCCCCC"/>
              <w:start w:val="single" w:sz="4" w:space="0" w:color="CCCCCC"/>
              <w:bottom w:val="single" w:sz="4" w:space="0" w:color="CCCCCC"/>
              <w:end w:val="single" w:sz="4" w:space="0" w:color="CCCCCC"/>
            </w:tcBorders>
            <w:shd w:fill="1B365D" w:val="clear"/>
          </w:tcPr>
          <w:p>
            <w:pPr>
              <w:pStyle w:val="Normal"/>
              <w:spacing w:lineRule="auto" w:line="240" w:before="0" w:after="40"/>
              <w:jc w:val="start"/>
              <w:rPr/>
            </w:pPr>
            <w:r>
              <w:rPr>
                <w:rFonts w:eastAsia="Calibri" w:cs="Calibri"/>
                <w:b/>
                <w:bCs/>
                <w:color w:val="FFFFFF"/>
                <w:sz w:val="20"/>
                <w:szCs w:val="20"/>
              </w:rPr>
              <w:t>Where it appears</w:t>
            </w:r>
          </w:p>
        </w:tc>
      </w:tr>
      <w:tr>
        <w:trPr/>
        <w:tc>
          <w:tcPr>
            <w:tcW w:w="2999"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0B3D2E"/>
                <w:sz w:val="20"/>
                <w:szCs w:val="20"/>
              </w:rPr>
              <w:t>Caucus vote = elected precinct delegates only</w:t>
            </w:r>
          </w:p>
        </w:tc>
        <w:tc>
          <w:tcPr>
            <w:tcW w:w="7225"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6.9(a) and 6.12(a). At-large delegates vote on the convention floor and on the EC if seated.</w:t>
            </w:r>
          </w:p>
        </w:tc>
      </w:tr>
      <w:tr>
        <w:trPr/>
        <w:tc>
          <w:tcPr>
            <w:tcW w:w="2999"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0B3D2E"/>
                <w:sz w:val="20"/>
                <w:szCs w:val="20"/>
              </w:rPr>
              <w:t>No ban on dual at-large / precinct seats</w:t>
            </w:r>
          </w:p>
        </w:tc>
        <w:tc>
          <w:tcPr>
            <w:tcW w:w="7225"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6.9(a).</w:t>
            </w:r>
          </w:p>
        </w:tc>
      </w:tr>
      <w:tr>
        <w:trPr/>
        <w:tc>
          <w:tcPr>
            <w:tcW w:w="2999"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0B3D2E"/>
                <w:sz w:val="20"/>
                <w:szCs w:val="20"/>
              </w:rPr>
              <w:t>Convention seats all 21</w:t>
            </w:r>
          </w:p>
        </w:tc>
        <w:tc>
          <w:tcPr>
            <w:tcW w:w="7225"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6.12(b). Caucuses recommend. The convention seats.</w:t>
            </w:r>
          </w:p>
        </w:tc>
      </w:tr>
      <w:tr>
        <w:trPr/>
        <w:tc>
          <w:tcPr>
            <w:tcW w:w="2999"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0B3D2E"/>
                <w:sz w:val="20"/>
                <w:szCs w:val="20"/>
              </w:rPr>
              <w:t>21 members, no stagger, two-year terms</w:t>
            </w:r>
          </w:p>
        </w:tc>
        <w:tc>
          <w:tcPr>
            <w:tcW w:w="7225"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6.9, 6.13.</w:t>
            </w:r>
          </w:p>
        </w:tc>
      </w:tr>
      <w:tr>
        <w:trPr/>
        <w:tc>
          <w:tcPr>
            <w:tcW w:w="2999"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b/>
                <w:bCs/>
                <w:color w:val="0B3D2E"/>
                <w:sz w:val="20"/>
                <w:szCs w:val="20"/>
              </w:rPr>
              <w:t>Parliamentarian and Sergeant at Arms stay appointed</w:t>
            </w:r>
          </w:p>
        </w:tc>
        <w:tc>
          <w:tcPr>
            <w:tcW w:w="7225"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8.1 is not expanded. New 8.8: Chair appoints, Executive Committee approves.</w:t>
            </w:r>
          </w:p>
        </w:tc>
      </w:tr>
      <w:tr>
        <w:trPr/>
        <w:tc>
          <w:tcPr>
            <w:tcW w:w="2999"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24-month service record is preference only</w:t>
            </w:r>
          </w:p>
        </w:tc>
        <w:tc>
          <w:tcPr>
            <w:tcW w:w="7225" w:type="dxa"/>
            <w:tcBorders>
              <w:top w:val="single" w:sz="4" w:space="0" w:color="CCCCCC"/>
              <w:start w:val="single" w:sz="4" w:space="0" w:color="CCCCCC"/>
              <w:bottom w:val="single" w:sz="4" w:space="0" w:color="CCCCCC"/>
              <w:end w:val="single" w:sz="4" w:space="0" w:color="CCCCCC"/>
            </w:tcBorders>
            <w:shd w:fill="FFFFFF" w:val="clear"/>
          </w:tcPr>
          <w:p>
            <w:pPr>
              <w:pStyle w:val="Normal"/>
              <w:spacing w:lineRule="auto" w:line="240" w:before="0" w:after="40"/>
              <w:jc w:val="start"/>
              <w:rPr/>
            </w:pPr>
            <w:r>
              <w:rPr>
                <w:rFonts w:eastAsia="Calibri" w:cs="Calibri"/>
                <w:color w:val="222222"/>
                <w:sz w:val="20"/>
                <w:szCs w:val="20"/>
              </w:rPr>
              <w:t>6.12(d)–(e) and 6.15. Not a qualification.</w:t>
            </w:r>
          </w:p>
        </w:tc>
      </w:tr>
    </w:tbl>
    <w:p>
      <w:pPr>
        <w:pStyle w:val="Normal"/>
        <w:pBdr>
          <w:bottom w:val="single" w:sz="12" w:space="4" w:color="1B365D"/>
        </w:pBdr>
        <w:spacing w:lineRule="auto" w:line="276" w:before="280" w:after="120"/>
        <w:jc w:val="start"/>
        <w:rPr>
          <w:rFonts w:ascii="Calibri" w:hAnsi="Calibri" w:eastAsia="Calibri" w:cs="Calibri"/>
          <w:b/>
          <w:bCs/>
          <w:color w:val="1B365D"/>
          <w:sz w:val="28"/>
          <w:szCs w:val="28"/>
        </w:rPr>
      </w:pPr>
      <w:r>
        <w:rPr>
          <w:rFonts w:eastAsia="Calibri" w:cs="Calibri"/>
          <w:b/>
          <w:bCs/>
          <w:color w:val="1B365D"/>
          <w:sz w:val="28"/>
          <w:szCs w:val="28"/>
        </w:rPr>
      </w:r>
    </w:p>
    <w:p>
      <w:pPr>
        <w:pStyle w:val="Normal"/>
        <w:pBdr>
          <w:bottom w:val="single" w:sz="12" w:space="4" w:color="1B365D"/>
        </w:pBdr>
        <w:spacing w:lineRule="auto" w:line="276" w:before="280" w:after="120"/>
        <w:jc w:val="start"/>
        <w:rPr>
          <w:rFonts w:ascii="Calibri" w:hAnsi="Calibri" w:eastAsia="Calibri" w:cs="Calibri"/>
          <w:b/>
          <w:bCs/>
          <w:color w:val="1B365D"/>
          <w:sz w:val="28"/>
          <w:szCs w:val="28"/>
        </w:rPr>
      </w:pPr>
      <w:r>
        <w:rPr>
          <w:rFonts w:eastAsia="Calibri" w:cs="Calibri"/>
          <w:b/>
          <w:bCs/>
          <w:color w:val="1B365D"/>
          <w:sz w:val="28"/>
          <w:szCs w:val="28"/>
        </w:rPr>
      </w:r>
    </w:p>
    <w:p>
      <w:pPr>
        <w:pStyle w:val="Normal"/>
        <w:pBdr>
          <w:bottom w:val="single" w:sz="12" w:space="4" w:color="1B365D"/>
        </w:pBdr>
        <w:spacing w:lineRule="auto" w:line="276" w:before="280" w:after="120"/>
        <w:jc w:val="start"/>
        <w:rPr>
          <w:rFonts w:ascii="Calibri" w:hAnsi="Calibri" w:eastAsia="Calibri" w:cs="Calibri"/>
          <w:b/>
          <w:bCs/>
          <w:color w:val="1B365D"/>
          <w:sz w:val="28"/>
          <w:szCs w:val="28"/>
        </w:rPr>
      </w:pPr>
      <w:r>
        <w:rPr>
          <w:rFonts w:eastAsia="Calibri" w:cs="Calibri"/>
          <w:b/>
          <w:bCs/>
          <w:color w:val="1B365D"/>
          <w:sz w:val="28"/>
          <w:szCs w:val="28"/>
        </w:rPr>
        <w:t>3. Why these articles are open</w:t>
      </w:r>
    </w:p>
    <w:p>
      <w:pPr>
        <w:pStyle w:val="Normal"/>
        <w:spacing w:lineRule="auto" w:line="276" w:before="80" w:after="80"/>
        <w:jc w:val="start"/>
        <w:rPr/>
      </w:pPr>
      <w:r>
        <w:rPr>
          <w:rFonts w:eastAsia="Calibri" w:cs="Calibri"/>
          <w:color w:val="222222"/>
          <w:sz w:val="22"/>
          <w:szCs w:val="22"/>
        </w:rPr>
        <w:t>Current 6.9 is internally broken (23 members, then two groups of 12) and uses a four-year stagger MCL 168.599 does not authorize. Clare County’s statutory number is 21. The convention must select that whole body every two years.</w:t>
      </w:r>
    </w:p>
    <w:p>
      <w:pPr>
        <w:pStyle w:val="Normal"/>
        <w:spacing w:lineRule="auto" w:line="276" w:before="80" w:after="80"/>
        <w:jc w:val="start"/>
        <w:rPr/>
      </w:pPr>
      <w:r>
        <w:rPr>
          <w:rFonts w:eastAsia="Calibri" w:cs="Calibri"/>
          <w:color w:val="222222"/>
          <w:sz w:val="22"/>
          <w:szCs w:val="22"/>
        </w:rPr>
        <w:t>Article 8 is open to add the statutory opposite-sex Vice Chair rule and to state that Parliamentarian and Sergeant at Arms are appointed, not elected. Article 9 is open only to add short duty statements for those two appointed roles.</w:t>
      </w:r>
    </w:p>
    <w:p>
      <w:pPr>
        <w:pStyle w:val="Normal"/>
        <w:pBdr>
          <w:bottom w:val="single" w:sz="12" w:space="4" w:color="1B365D"/>
        </w:pBdr>
        <w:spacing w:lineRule="auto" w:line="276" w:before="280" w:after="120"/>
        <w:jc w:val="start"/>
        <w:rPr/>
      </w:pPr>
      <w:r>
        <w:rPr>
          <w:rFonts w:eastAsia="Calibri" w:cs="Calibri"/>
          <w:b/>
          <w:bCs/>
          <w:color w:val="1B365D"/>
          <w:sz w:val="28"/>
          <w:szCs w:val="28"/>
        </w:rPr>
        <w:t>4. Section-by-section changes</w:t>
      </w:r>
    </w:p>
    <w:p>
      <w:pPr>
        <w:pStyle w:val="Normal"/>
        <w:spacing w:lineRule="auto" w:line="276" w:before="200" w:after="80"/>
        <w:jc w:val="start"/>
        <w:rPr/>
      </w:pPr>
      <w:r>
        <w:rPr>
          <w:rFonts w:eastAsia="Calibri" w:cs="Calibri"/>
          <w:b/>
          <w:bCs/>
          <w:color w:val="1B365D"/>
          <w:sz w:val="24"/>
          <w:szCs w:val="24"/>
        </w:rPr>
        <w:t>Article 6</w:t>
      </w:r>
    </w:p>
    <w:tbl>
      <w:tblPr>
        <w:tblW w:w="10224" w:type="dxa"/>
        <w:jc w:val="start"/>
        <w:tblInd w:w="0" w:type="dxa"/>
        <w:tblLayout w:type="fixed"/>
        <w:tblCellMar>
          <w:top w:w="60" w:type="dxa"/>
          <w:start w:w="80" w:type="dxa"/>
          <w:bottom w:w="60" w:type="dxa"/>
          <w:end w:w="80" w:type="dxa"/>
        </w:tblCellMar>
      </w:tblPr>
      <w:tblGrid>
        <w:gridCol w:w="2200"/>
        <w:gridCol w:w="4012"/>
        <w:gridCol w:w="4012"/>
      </w:tblGrid>
      <w:tr>
        <w:trPr/>
        <w:tc>
          <w:tcPr>
            <w:tcW w:w="2200" w:type="dxa"/>
            <w:tcBorders>
              <w:top w:val="single" w:sz="4" w:space="0" w:color="CCCCCC"/>
              <w:start w:val="single" w:sz="4" w:space="0" w:color="CCCCCC"/>
              <w:bottom w:val="single" w:sz="4" w:space="0" w:color="CCCCCC"/>
              <w:end w:val="single" w:sz="4" w:space="0" w:color="CCCCCC"/>
            </w:tcBorders>
            <w:shd w:fill="1B365D" w:val="clear"/>
          </w:tcPr>
          <w:p>
            <w:pPr>
              <w:pStyle w:val="Normal"/>
              <w:spacing w:lineRule="auto" w:line="240" w:before="0" w:after="40"/>
              <w:jc w:val="start"/>
              <w:rPr/>
            </w:pPr>
            <w:r>
              <w:rPr>
                <w:rFonts w:eastAsia="Calibri" w:cs="Calibri"/>
                <w:b/>
                <w:bCs/>
                <w:color w:val="FFFFFF"/>
                <w:sz w:val="20"/>
                <w:szCs w:val="20"/>
              </w:rPr>
              <w:t>Section</w:t>
            </w:r>
          </w:p>
        </w:tc>
        <w:tc>
          <w:tcPr>
            <w:tcW w:w="4012" w:type="dxa"/>
            <w:tcBorders>
              <w:top w:val="single" w:sz="4" w:space="0" w:color="CCCCCC"/>
              <w:start w:val="single" w:sz="4" w:space="0" w:color="CCCCCC"/>
              <w:bottom w:val="single" w:sz="4" w:space="0" w:color="CCCCCC"/>
              <w:end w:val="single" w:sz="4" w:space="0" w:color="CCCCCC"/>
            </w:tcBorders>
            <w:shd w:fill="1B365D" w:val="clear"/>
          </w:tcPr>
          <w:p>
            <w:pPr>
              <w:pStyle w:val="Normal"/>
              <w:spacing w:lineRule="auto" w:line="240" w:before="0" w:after="40"/>
              <w:jc w:val="start"/>
              <w:rPr/>
            </w:pPr>
            <w:r>
              <w:rPr>
                <w:rFonts w:eastAsia="Calibri" w:cs="Calibri"/>
                <w:b/>
                <w:bCs/>
                <w:color w:val="FFFFFF"/>
                <w:sz w:val="20"/>
                <w:szCs w:val="20"/>
              </w:rPr>
              <w:t>Now</w:t>
            </w:r>
          </w:p>
        </w:tc>
        <w:tc>
          <w:tcPr>
            <w:tcW w:w="4012" w:type="dxa"/>
            <w:tcBorders>
              <w:top w:val="single" w:sz="4" w:space="0" w:color="CCCCCC"/>
              <w:start w:val="single" w:sz="4" w:space="0" w:color="CCCCCC"/>
              <w:bottom w:val="single" w:sz="4" w:space="0" w:color="CCCCCC"/>
              <w:end w:val="single" w:sz="4" w:space="0" w:color="CCCCCC"/>
            </w:tcBorders>
            <w:shd w:fill="1B365D" w:val="clear"/>
          </w:tcPr>
          <w:p>
            <w:pPr>
              <w:pStyle w:val="Normal"/>
              <w:spacing w:lineRule="auto" w:line="240" w:before="0" w:after="40"/>
              <w:jc w:val="start"/>
              <w:rPr/>
            </w:pPr>
            <w:r>
              <w:rPr>
                <w:rFonts w:eastAsia="Calibri" w:cs="Calibri"/>
                <w:b/>
                <w:bCs/>
                <w:color w:val="FFFFFF"/>
                <w:sz w:val="20"/>
                <w:szCs w:val="20"/>
              </w:rPr>
              <w:t>Proposed</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6.9</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23 members; stagger; two groups of 12.</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21 members at one convention: 19 precinct seats + 2 additional seats. No stagger.</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6.9(a)</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No precinct structure.</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One seat per precinct. Only elected precinct delegates of that precinct vote in the caucus.</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6.9(b)</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Not defined.</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Convention elects two additional members. Nomination of the sitting Chair and Vice Chair is in order and encouraged. Seats are not reserved by office.</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6.10</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Obsolete original-adoption language.</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Current Delegate-Elected Members serve until the Fall 2026 post-election convention adjourns.</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6.12</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Optional slate; top vote-getters; ties by lot.</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Caucus recommends; convention confirms or fills the 19, then elects the 2. Ties: run-off, then lot. Service record is preference only.</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6.13</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w:t>
            </w:r>
            <w:r>
              <w:rPr>
                <w:rFonts w:eastAsia="Calibri" w:cs="Calibri"/>
                <w:color w:val="222222"/>
                <w:sz w:val="20"/>
                <w:szCs w:val="20"/>
              </w:rPr>
              <w:t>Double terms” of four years.</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Two-year terms. No stagger.</w:t>
            </w:r>
          </w:p>
        </w:tc>
      </w:tr>
      <w:tr>
        <w:trPr/>
        <w:tc>
          <w:tcPr>
            <w:tcW w:w="2200"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40" w:before="0" w:after="40"/>
              <w:jc w:val="start"/>
              <w:rPr/>
            </w:pPr>
            <w:r>
              <w:rPr>
                <w:rFonts w:eastAsia="Calibri" w:cs="Calibri"/>
                <w:b/>
                <w:bCs/>
                <w:color w:val="222222"/>
                <w:sz w:val="20"/>
                <w:szCs w:val="20"/>
              </w:rPr>
              <w:t>6.15</w:t>
            </w:r>
          </w:p>
        </w:tc>
        <w:tc>
          <w:tcPr>
            <w:tcW w:w="4012" w:type="dxa"/>
            <w:tcBorders>
              <w:top w:val="single" w:sz="4" w:space="0" w:color="CCCCCC"/>
              <w:start w:val="single" w:sz="4" w:space="0" w:color="CCCCCC"/>
              <w:bottom w:val="single" w:sz="4" w:space="0" w:color="CCCCCC"/>
              <w:end w:val="single" w:sz="4" w:space="0" w:color="CCCCCC"/>
            </w:tcBorders>
            <w:shd w:fill="F8E8E8" w:val="clear"/>
          </w:tcPr>
          <w:p>
            <w:pPr>
              <w:pStyle w:val="Normal"/>
              <w:spacing w:lineRule="auto" w:line="240" w:before="0" w:after="40"/>
              <w:jc w:val="start"/>
              <w:rPr/>
            </w:pPr>
            <w:r>
              <w:rPr>
                <w:rFonts w:eastAsia="Calibri" w:cs="Calibri"/>
                <w:color w:val="222222"/>
                <w:sz w:val="20"/>
                <w:szCs w:val="20"/>
              </w:rPr>
              <w:t>Announce, then elect at the next meeting.</w:t>
            </w:r>
          </w:p>
        </w:tc>
        <w:tc>
          <w:tcPr>
            <w:tcW w:w="4012" w:type="dxa"/>
            <w:tcBorders>
              <w:top w:val="single" w:sz="4" w:space="0" w:color="CCCCCC"/>
              <w:start w:val="single" w:sz="4" w:space="0" w:color="CCCCCC"/>
              <w:bottom w:val="single" w:sz="4" w:space="0" w:color="CCCCCC"/>
              <w:end w:val="single" w:sz="4" w:space="0" w:color="CCCCCC"/>
            </w:tcBorders>
            <w:shd w:fill="E6F0EA" w:val="clear"/>
          </w:tcPr>
          <w:p>
            <w:pPr>
              <w:pStyle w:val="Normal"/>
              <w:spacing w:lineRule="auto" w:line="240" w:before="0" w:after="40"/>
              <w:jc w:val="start"/>
              <w:rPr/>
            </w:pPr>
            <w:r>
              <w:rPr>
                <w:rFonts w:eastAsia="Calibri" w:cs="Calibri"/>
                <w:color w:val="222222"/>
                <w:sz w:val="20"/>
                <w:szCs w:val="20"/>
              </w:rPr>
              <w:t>Tracks MCL 168.599. Interim precinct-seat fill allowed. Preference only.</w:t>
            </w:r>
          </w:p>
        </w:tc>
      </w:tr>
    </w:tbl>
    <w:p>
      <w:pPr>
        <w:pStyle w:val="Normal"/>
        <w:spacing w:lineRule="auto" w:line="276" w:before="200" w:after="80"/>
        <w:jc w:val="start"/>
        <w:rPr/>
      </w:pPr>
      <w:r>
        <w:rPr>
          <w:rFonts w:eastAsia="Calibri" w:cs="Calibri"/>
          <w:b/>
          <w:bCs/>
          <w:color w:val="1B365D"/>
          <w:sz w:val="24"/>
          <w:szCs w:val="24"/>
        </w:rPr>
        <w:t>Articles 8 and 9</w:t>
      </w:r>
    </w:p>
    <w:p>
      <w:pPr>
        <w:pStyle w:val="Normal"/>
        <w:spacing w:lineRule="auto" w:line="276" w:before="80" w:after="80"/>
        <w:jc w:val="start"/>
        <w:rPr/>
      </w:pPr>
      <w:r>
        <w:rPr>
          <w:rFonts w:eastAsia="Calibri" w:cs="Calibri"/>
          <w:color w:val="222222"/>
          <w:sz w:val="22"/>
          <w:szCs w:val="22"/>
        </w:rPr>
        <w:t>8.2 keeps the 30-day post-convention election and adds the MCL 168.599 opposite-sex Vice Chair rule.</w:t>
      </w:r>
    </w:p>
    <w:p>
      <w:pPr>
        <w:pStyle w:val="Normal"/>
        <w:spacing w:lineRule="auto" w:line="276" w:before="80" w:after="80"/>
        <w:jc w:val="start"/>
        <w:rPr/>
      </w:pPr>
      <w:r>
        <w:rPr>
          <w:rFonts w:eastAsia="Calibri" w:cs="Calibri"/>
          <w:color w:val="222222"/>
          <w:sz w:val="22"/>
          <w:szCs w:val="22"/>
        </w:rPr>
        <w:t>New 8.8: the Chair appoints the Parliamentarian and may appoint a Sergeant at Arms, subject to Executive Committee approval. No vote unless they already hold an EC seat.</w:t>
      </w:r>
    </w:p>
    <w:p>
      <w:pPr>
        <w:pStyle w:val="Normal"/>
        <w:spacing w:lineRule="auto" w:line="276" w:before="80" w:after="80"/>
        <w:jc w:val="start"/>
        <w:rPr/>
      </w:pPr>
      <w:r>
        <w:rPr>
          <w:rFonts w:eastAsia="Calibri" w:cs="Calibri"/>
          <w:color w:val="222222"/>
          <w:sz w:val="22"/>
          <w:szCs w:val="22"/>
        </w:rPr>
        <w:t>New 9.13 and 9.14 are job descriptions for those appointed roles. They are not elected offices. Existing officer duties are unchanged.</w:t>
      </w:r>
    </w:p>
    <w:p>
      <w:pPr>
        <w:pStyle w:val="Normal"/>
        <w:pBdr>
          <w:bottom w:val="single" w:sz="12" w:space="4" w:color="1B365D"/>
        </w:pBdr>
        <w:spacing w:lineRule="auto" w:line="276" w:before="280" w:after="120"/>
        <w:jc w:val="start"/>
        <w:rPr>
          <w:rFonts w:ascii="Calibri" w:hAnsi="Calibri" w:eastAsia="Calibri" w:cs="Calibri"/>
          <w:b/>
          <w:bCs/>
          <w:color w:val="1B365D"/>
          <w:sz w:val="28"/>
          <w:szCs w:val="28"/>
        </w:rPr>
      </w:pPr>
      <w:r>
        <w:rPr>
          <w:rFonts w:eastAsia="Calibri" w:cs="Calibri"/>
          <w:b/>
          <w:bCs/>
          <w:color w:val="1B365D"/>
          <w:sz w:val="28"/>
          <w:szCs w:val="28"/>
        </w:rPr>
      </w:r>
    </w:p>
    <w:p>
      <w:pPr>
        <w:pStyle w:val="Normal"/>
        <w:pBdr>
          <w:bottom w:val="single" w:sz="12" w:space="4" w:color="1B365D"/>
        </w:pBdr>
        <w:spacing w:lineRule="auto" w:line="276" w:before="280" w:after="120"/>
        <w:jc w:val="start"/>
        <w:rPr>
          <w:rFonts w:ascii="Calibri" w:hAnsi="Calibri" w:eastAsia="Calibri" w:cs="Calibri"/>
          <w:b/>
          <w:bCs/>
          <w:color w:val="1B365D"/>
          <w:sz w:val="28"/>
          <w:szCs w:val="28"/>
        </w:rPr>
      </w:pPr>
      <w:r>
        <w:rPr>
          <w:rFonts w:eastAsia="Calibri" w:cs="Calibri"/>
          <w:b/>
          <w:bCs/>
          <w:color w:val="1B365D"/>
          <w:sz w:val="28"/>
          <w:szCs w:val="28"/>
        </w:rPr>
        <w:t>5. How the convention process will run</w:t>
      </w:r>
    </w:p>
    <w:p>
      <w:pPr>
        <w:pStyle w:val="ListParagraph"/>
        <w:numPr>
          <w:ilvl w:val="0"/>
          <w:numId w:val="4"/>
        </w:numPr>
        <w:spacing w:lineRule="auto" w:line="276" w:before="80" w:after="80"/>
        <w:jc w:val="start"/>
        <w:rPr/>
      </w:pPr>
      <w:r>
        <w:rPr>
          <w:rFonts w:eastAsia="Calibri" w:cs="Calibri"/>
          <w:color w:val="222222"/>
          <w:sz w:val="22"/>
          <w:szCs w:val="22"/>
        </w:rPr>
        <w:t>Call to Convention (15 days) includes caucus procedures and the Clerk’s list of elected Republican precinct delegates.</w:t>
      </w:r>
    </w:p>
    <w:p>
      <w:pPr>
        <w:pStyle w:val="ListParagraph"/>
        <w:numPr>
          <w:ilvl w:val="0"/>
          <w:numId w:val="1"/>
        </w:numPr>
        <w:spacing w:lineRule="auto" w:line="276" w:before="80" w:after="80"/>
        <w:jc w:val="start"/>
        <w:rPr/>
      </w:pPr>
      <w:r>
        <w:rPr>
          <w:rFonts w:eastAsia="Calibri" w:cs="Calibri"/>
          <w:color w:val="222222"/>
          <w:sz w:val="22"/>
          <w:szCs w:val="22"/>
        </w:rPr>
        <w:t>Each precinct caucuses. Only elected precinct delegates of that precinct vote. They recommend one person for that precinct’s seat.</w:t>
      </w:r>
    </w:p>
    <w:p>
      <w:pPr>
        <w:pStyle w:val="ListParagraph"/>
        <w:numPr>
          <w:ilvl w:val="0"/>
          <w:numId w:val="1"/>
        </w:numPr>
        <w:spacing w:lineRule="auto" w:line="276" w:before="80" w:after="80"/>
        <w:jc w:val="start"/>
        <w:rPr/>
      </w:pPr>
      <w:r>
        <w:rPr>
          <w:rFonts w:eastAsia="Calibri" w:cs="Calibri"/>
          <w:color w:val="222222"/>
          <w:sz w:val="22"/>
          <w:szCs w:val="22"/>
        </w:rPr>
        <w:t>The convention confirms the 19 or fills empty seats from the floor, then elects the two additional members. Sitting Chair and Vice Chair may be nominated.</w:t>
      </w:r>
    </w:p>
    <w:p>
      <w:pPr>
        <w:pStyle w:val="ListParagraph"/>
        <w:numPr>
          <w:ilvl w:val="0"/>
          <w:numId w:val="1"/>
        </w:numPr>
        <w:spacing w:lineRule="auto" w:line="276" w:before="80" w:after="80"/>
        <w:jc w:val="start"/>
        <w:rPr/>
      </w:pPr>
      <w:r>
        <w:rPr>
          <w:rFonts w:eastAsia="Calibri" w:cs="Calibri"/>
          <w:color w:val="222222"/>
          <w:sz w:val="22"/>
          <w:szCs w:val="22"/>
        </w:rPr>
        <w:t>The 21 take office when the convention adjourns. Within 30 days the new Executive Committee elects Chair, Vice Chair (opposite sex), Secretary, Treasurer, and Youth Vice Chair. The Chair then appoints Parliamentarian and Sergeant at Arms, subject to Executive Committee approval.</w:t>
      </w:r>
    </w:p>
    <w:p>
      <w:pPr>
        <w:pStyle w:val="Normal"/>
        <w:pBdr>
          <w:bottom w:val="single" w:sz="12" w:space="4" w:color="1B365D"/>
        </w:pBdr>
        <w:spacing w:lineRule="auto" w:line="276" w:before="280" w:after="120"/>
        <w:jc w:val="start"/>
        <w:rPr/>
      </w:pPr>
      <w:r>
        <w:rPr>
          <w:rFonts w:eastAsia="Calibri" w:cs="Calibri"/>
          <w:b/>
          <w:bCs/>
          <w:color w:val="1B365D"/>
          <w:sz w:val="28"/>
          <w:szCs w:val="28"/>
        </w:rPr>
        <w:t>6. Lines this draft will not cross</w:t>
      </w:r>
    </w:p>
    <w:p>
      <w:pPr>
        <w:pStyle w:val="ListParagraph"/>
        <w:numPr>
          <w:ilvl w:val="0"/>
          <w:numId w:val="5"/>
        </w:numPr>
        <w:spacing w:lineRule="auto" w:line="276" w:before="80" w:after="80"/>
        <w:jc w:val="start"/>
        <w:rPr/>
      </w:pPr>
      <w:r>
        <w:rPr>
          <w:rFonts w:eastAsia="Calibri" w:cs="Calibri"/>
          <w:color w:val="222222"/>
          <w:sz w:val="22"/>
          <w:szCs w:val="22"/>
        </w:rPr>
        <w:t>The number 21 follows the present statutory count. If that count changes, 6.9 follows the statute. The 19 precinct seats are kept first.</w:t>
      </w:r>
    </w:p>
    <w:p>
      <w:pPr>
        <w:pStyle w:val="ListParagraph"/>
        <w:numPr>
          <w:ilvl w:val="0"/>
          <w:numId w:val="2"/>
        </w:numPr>
        <w:spacing w:lineRule="auto" w:line="276" w:before="80" w:after="80"/>
        <w:jc w:val="start"/>
        <w:rPr/>
      </w:pPr>
      <w:r>
        <w:rPr>
          <w:rFonts w:eastAsia="Calibri" w:cs="Calibri"/>
          <w:color w:val="222222"/>
          <w:sz w:val="22"/>
          <w:szCs w:val="22"/>
        </w:rPr>
        <w:t>The 24-month volunteer record is preference language only.</w:t>
      </w:r>
    </w:p>
    <w:p>
      <w:pPr>
        <w:pStyle w:val="ListParagraph"/>
        <w:numPr>
          <w:ilvl w:val="0"/>
          <w:numId w:val="2"/>
        </w:numPr>
        <w:spacing w:lineRule="auto" w:line="276" w:before="80" w:after="80"/>
        <w:jc w:val="start"/>
        <w:rPr/>
      </w:pPr>
      <w:r>
        <w:rPr>
          <w:rFonts w:eastAsia="Calibri" w:cs="Calibri"/>
          <w:color w:val="222222"/>
          <w:sz w:val="22"/>
          <w:szCs w:val="22"/>
        </w:rPr>
        <w:t>This package is not sent to MRP for approval. After adoption the Secretary transmits it under 14.5 as notice.</w:t>
      </w:r>
    </w:p>
    <w:p>
      <w:pPr>
        <w:pStyle w:val="ListParagraph"/>
        <w:numPr>
          <w:ilvl w:val="0"/>
          <w:numId w:val="0"/>
        </w:numPr>
        <w:spacing w:lineRule="auto" w:line="276" w:before="80" w:after="80"/>
        <w:ind w:hanging="0" w:start="720"/>
        <w:jc w:val="start"/>
        <w:rPr>
          <w:rFonts w:ascii="Calibri" w:hAnsi="Calibri" w:eastAsia="Calibri" w:cs="Calibri"/>
          <w:color w:val="222222"/>
          <w:sz w:val="22"/>
          <w:szCs w:val="22"/>
        </w:rPr>
      </w:pPr>
      <w:r>
        <w:rPr/>
      </w:r>
    </w:p>
    <w:p>
      <w:pPr>
        <w:pStyle w:val="ListParagraph"/>
        <w:numPr>
          <w:ilvl w:val="0"/>
          <w:numId w:val="0"/>
        </w:numPr>
        <w:spacing w:lineRule="auto" w:line="276" w:before="80" w:after="80"/>
        <w:ind w:hanging="0" w:start="720"/>
        <w:jc w:val="start"/>
        <w:rPr>
          <w:rFonts w:ascii="Calibri" w:hAnsi="Calibri" w:eastAsia="Calibri" w:cs="Calibri"/>
          <w:color w:val="222222"/>
          <w:sz w:val="22"/>
          <w:szCs w:val="22"/>
        </w:rPr>
      </w:pPr>
      <w:r>
        <w:rPr/>
      </w:r>
    </w:p>
    <w:p>
      <w:pPr>
        <w:pStyle w:val="Normal"/>
        <w:pBdr>
          <w:bottom w:val="single" w:sz="12" w:space="4" w:color="1B365D"/>
        </w:pBdr>
        <w:spacing w:lineRule="auto" w:line="276" w:before="280" w:after="120"/>
        <w:jc w:val="start"/>
        <w:rPr/>
      </w:pPr>
      <w:r>
        <w:rPr>
          <w:rFonts w:eastAsia="Calibri" w:cs="Calibri"/>
          <w:b/>
          <w:bCs/>
          <w:color w:val="1B365D"/>
          <w:sz w:val="28"/>
          <w:szCs w:val="28"/>
        </w:rPr>
        <w:t>7. Suggested motion</w:t>
      </w:r>
    </w:p>
    <w:tbl>
      <w:tblPr>
        <w:tblW w:w="10224" w:type="dxa"/>
        <w:jc w:val="start"/>
        <w:tblInd w:w="0" w:type="dxa"/>
        <w:tblLayout w:type="fixed"/>
        <w:tblCellMar>
          <w:top w:w="80" w:type="dxa"/>
          <w:start w:w="100" w:type="dxa"/>
          <w:bottom w:w="80" w:type="dxa"/>
          <w:end w:w="100" w:type="dxa"/>
        </w:tblCellMar>
      </w:tblPr>
      <w:tblGrid>
        <w:gridCol w:w="10224"/>
      </w:tblGrid>
      <w:tr>
        <w:trPr/>
        <w:tc>
          <w:tcPr>
            <w:tcW w:w="10224" w:type="dxa"/>
            <w:tcBorders>
              <w:top w:val="single" w:sz="4" w:space="0" w:color="CCCCCC"/>
              <w:start w:val="single" w:sz="4" w:space="0" w:color="CCCCCC"/>
              <w:bottom w:val="single" w:sz="4" w:space="0" w:color="CCCCCC"/>
              <w:end w:val="single" w:sz="4" w:space="0" w:color="CCCCCC"/>
            </w:tcBorders>
            <w:shd w:fill="F4F1EA" w:val="clear"/>
          </w:tcPr>
          <w:p>
            <w:pPr>
              <w:pStyle w:val="Normal"/>
              <w:spacing w:lineRule="auto" w:line="276" w:before="0" w:after="80"/>
              <w:jc w:val="start"/>
              <w:rPr/>
            </w:pPr>
            <w:r>
              <w:rPr>
                <w:rFonts w:eastAsia="Calibri" w:cs="Calibri"/>
                <w:b/>
                <w:bCs/>
                <w:color w:val="1B365D"/>
                <w:sz w:val="20"/>
                <w:szCs w:val="20"/>
              </w:rPr>
              <w:t>Proposed motion</w:t>
            </w:r>
          </w:p>
          <w:p>
            <w:pPr>
              <w:pStyle w:val="Normal"/>
              <w:spacing w:lineRule="auto" w:line="276" w:before="0" w:after="40"/>
              <w:jc w:val="start"/>
              <w:rPr/>
            </w:pPr>
            <w:r>
              <w:rPr>
                <w:rFonts w:eastAsia="Calibri" w:cs="Calibri"/>
                <w:i/>
                <w:iCs/>
                <w:color w:val="222222"/>
                <w:sz w:val="21"/>
                <w:szCs w:val="21"/>
              </w:rPr>
              <w:t>Move to amend the Bylaws of the Clare County Republican Committee by substituting the text of Articles 6, 8, and 9 as shown in the redline dated September 2, 2026 (Document 2), and upon passage to adopt the attached clean restatement (Document 3) as the official bylaws, effective at the Fall County Convention following the November 2026 general election.</w:t>
            </w:r>
          </w:p>
        </w:tc>
      </w:tr>
    </w:tbl>
    <w:p>
      <w:pPr>
        <w:pStyle w:val="Normal"/>
        <w:spacing w:lineRule="auto" w:line="276" w:before="280" w:after="40"/>
        <w:jc w:val="start"/>
        <w:rPr/>
      </w:pPr>
      <w:r>
        <w:rPr>
          <w:rFonts w:eastAsia="Calibri" w:cs="Calibri"/>
          <w:color w:val="222222"/>
          <w:sz w:val="22"/>
          <w:szCs w:val="22"/>
        </w:rPr>
        <w:t>Respectfully submitted,</w:t>
      </w:r>
    </w:p>
    <w:p>
      <w:pPr>
        <w:pStyle w:val="Normal"/>
        <w:spacing w:lineRule="auto" w:line="276" w:before="20" w:after="0"/>
        <w:jc w:val="start"/>
        <w:rPr/>
      </w:pPr>
      <w:r>
        <w:rPr>
          <w:rFonts w:eastAsia="Calibri" w:cs="Calibri"/>
          <w:b/>
          <w:bCs/>
          <w:color w:val="1B365D"/>
          <w:sz w:val="24"/>
          <w:szCs w:val="24"/>
        </w:rPr>
        <w:t>Kelly Harrison</w:t>
      </w:r>
    </w:p>
    <w:p>
      <w:pPr>
        <w:pStyle w:val="Normal"/>
        <w:spacing w:lineRule="auto" w:line="276" w:before="0" w:after="0"/>
        <w:jc w:val="start"/>
        <w:rPr/>
      </w:pPr>
      <w:r>
        <w:rPr>
          <w:rFonts w:eastAsia="Calibri" w:cs="Calibri"/>
          <w:i/>
          <w:iCs/>
          <w:color w:val="4A4A4A"/>
          <w:sz w:val="22"/>
          <w:szCs w:val="22"/>
        </w:rPr>
        <w:t>Chair, Clare County Republican Committee</w:t>
      </w:r>
    </w:p>
    <w:p>
      <w:pPr>
        <w:pStyle w:val="Normal"/>
        <w:spacing w:lineRule="auto" w:line="276" w:before="0" w:after="0"/>
        <w:jc w:val="start"/>
        <w:rPr/>
      </w:pPr>
      <w:r>
        <w:rPr>
          <w:rFonts w:eastAsia="Calibri" w:cs="Calibri"/>
          <w:color w:val="4A4A4A"/>
          <w:sz w:val="22"/>
          <w:szCs w:val="22"/>
        </w:rPr>
        <w:t>September 2, 2026</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708" w:top="1008" w:footer="708"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6" w:color="1B365D"/>
      </w:pBdr>
      <w:spacing w:lineRule="auto" w:line="276" w:before="80" w:after="0"/>
      <w:jc w:val="start"/>
      <w:rPr/>
    </w:pPr>
    <w:r>
      <w:rPr>
        <w:rFonts w:eastAsia="Calibri" w:cs="Calibri"/>
        <w:color w:val="4A4A4A"/>
        <w:sz w:val="16"/>
        <w:szCs w:val="16"/>
      </w:rPr>
      <w:t xml:space="preserve">Document 1 of 3 · Summary of Changes  ·  Revised September 2, 2026  ·  Page </w:t>
    </w:r>
    <w:r>
      <w:rPr>
        <w:rFonts w:eastAsia="Calibri" w:cs="Calibri"/>
        <w:color w:val="4A4A4A"/>
        <w:sz w:val="22"/>
        <w:szCs w:val="22"/>
      </w:rPr>
      <w:fldChar w:fldCharType="begin"/>
    </w:r>
    <w:r>
      <w:rPr>
        <w:rFonts w:eastAsia="Calibri" w:cs="Calibri"/>
        <w:color w:val="4A4A4A"/>
        <w:sz w:val="22"/>
        <w:szCs w:val="22"/>
      </w:rPr>
      <w:instrText xml:space="preserve"> PAGE </w:instrText>
    </w:r>
    <w:r>
      <w:rPr>
        <w:rFonts w:eastAsia="Calibri" w:cs="Calibri"/>
        <w:color w:val="4A4A4A"/>
        <w:sz w:val="22"/>
        <w:szCs w:val="22"/>
      </w:rPr>
      <w:fldChar w:fldCharType="separate"/>
    </w:r>
    <w:r>
      <w:rPr>
        <w:rFonts w:eastAsia="Calibri" w:cs="Calibri"/>
        <w:color w:val="4A4A4A"/>
        <w:sz w:val="22"/>
        <w:szCs w:val="22"/>
      </w:rPr>
      <w:t>3</w:t>
    </w:r>
    <w:r>
      <w:rPr>
        <w:rFonts w:eastAsia="Calibri" w:cs="Calibri"/>
        <w:color w:val="4A4A4A"/>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6" w:space="6" w:color="1B365D"/>
      </w:pBdr>
      <w:spacing w:lineRule="auto" w:line="276" w:before="80" w:after="0"/>
      <w:jc w:val="start"/>
      <w:rPr/>
    </w:pPr>
    <w:r>
      <w:rPr>
        <w:rFonts w:eastAsia="Calibri" w:cs="Calibri"/>
        <w:color w:val="4A4A4A"/>
        <w:sz w:val="16"/>
        <w:szCs w:val="16"/>
      </w:rPr>
      <w:t xml:space="preserve">Document 1 of 3 · Summary of Changes  ·  Revised September 2, 2026  ·  Page </w:t>
    </w:r>
    <w:r>
      <w:rPr>
        <w:rFonts w:eastAsia="Calibri" w:cs="Calibri"/>
        <w:color w:val="4A4A4A"/>
        <w:sz w:val="22"/>
        <w:szCs w:val="22"/>
      </w:rPr>
      <w:fldChar w:fldCharType="begin"/>
    </w:r>
    <w:r>
      <w:rPr>
        <w:rFonts w:eastAsia="Calibri" w:cs="Calibri"/>
        <w:color w:val="4A4A4A"/>
        <w:sz w:val="22"/>
        <w:szCs w:val="22"/>
      </w:rPr>
      <w:instrText xml:space="preserve"> PAGE </w:instrText>
    </w:r>
    <w:r>
      <w:rPr>
        <w:rFonts w:eastAsia="Calibri" w:cs="Calibri"/>
        <w:color w:val="4A4A4A"/>
        <w:sz w:val="22"/>
        <w:szCs w:val="22"/>
      </w:rPr>
      <w:fldChar w:fldCharType="separate"/>
    </w:r>
    <w:r>
      <w:rPr>
        <w:rFonts w:eastAsia="Calibri" w:cs="Calibri"/>
        <w:color w:val="4A4A4A"/>
        <w:sz w:val="22"/>
        <w:szCs w:val="22"/>
      </w:rPr>
      <w:t>3</w:t>
    </w:r>
    <w:r>
      <w:rPr>
        <w:rFonts w:eastAsia="Calibri" w:cs="Calibri"/>
        <w:color w:val="4A4A4A"/>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1B365D"/>
      </w:pBdr>
      <w:spacing w:lineRule="auto" w:line="276" w:before="0" w:after="80"/>
      <w:jc w:val="start"/>
      <w:rPr/>
    </w:pPr>
    <w:r>
      <w:rPr>
        <w:rFonts w:eastAsia="Calibri" w:cs="Calibri"/>
        <w:b/>
        <w:bCs/>
        <w:color w:val="1B365D"/>
        <w:sz w:val="18"/>
        <w:szCs w:val="18"/>
      </w:rPr>
      <w:t>CLARE COUNTY REPUBLICAN COMMITTEE</w:t>
    </w:r>
    <w:r>
      <w:rPr>
        <w:rFonts w:eastAsia="Calibri" w:cs="Calibri"/>
        <w:color w:val="4A4A4A"/>
        <w:sz w:val="18"/>
        <w:szCs w:val="18"/>
      </w:rPr>
      <w:t xml:space="preserve">  |  Article 14 Amendment Notice Package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12" w:space="6" w:color="1B365D"/>
      </w:pBdr>
      <w:spacing w:lineRule="auto" w:line="276" w:before="0" w:after="80"/>
      <w:jc w:val="start"/>
      <w:rPr/>
    </w:pPr>
    <w:r>
      <w:rPr>
        <w:rFonts w:eastAsia="Calibri" w:cs="Calibri"/>
        <w:b/>
        <w:bCs/>
        <w:color w:val="1B365D"/>
        <w:sz w:val="18"/>
        <w:szCs w:val="18"/>
      </w:rPr>
      <w:t>CLARE COUNTY REPUBLICAN COMMITTEE</w:t>
    </w:r>
    <w:r>
      <w:rPr>
        <w:rFonts w:eastAsia="Calibri" w:cs="Calibri"/>
        <w:color w:val="4A4A4A"/>
        <w:sz w:val="18"/>
        <w:szCs w:val="18"/>
      </w:rPr>
      <w:t xml:space="preserve">  |  Article 14 Amendment Notice Package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2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Calibri" w:hAnsi="Calibri" w:eastAsia="Calibri" w:cs="Calibri"/>
      <w:b/>
      <w:bCs/>
      <w:color w:val="auto"/>
      <w:kern w:val="0"/>
      <w:sz w:val="22"/>
      <w:szCs w:val="22"/>
      <w:lang w:val="en-US" w:eastAsia="zh-CN" w:bidi="hi-IN"/>
    </w:rPr>
  </w:style>
  <w:style w:type="paragraph" w:styleId="ListParagraph">
    <w:name w:val="List Paragraph"/>
    <w:qFormat/>
    <w:pPr>
      <w:widowControl/>
      <w:bidi w:val="0"/>
      <w:spacing w:before="0" w:after="0"/>
      <w:jc w:val="start"/>
    </w:pPr>
    <w:rPr>
      <w:rFonts w:ascii="Calibri" w:hAnsi="Calibri" w:eastAsia="Calibri" w:cs="Calibri"/>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LibreOffice/26.2.5.2$Windows_X86_64 LibreOffice_project/cd7284b4cbbfeb507e630c1aac019f4157393acb</Application>
  <AppVersion>15.0000</AppVersion>
  <Pages>3</Pages>
  <Words>878</Words>
  <Characters>4640</Characters>
  <CharactersWithSpaces>5438</CharactersWithSpaces>
  <Paragraphs>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2026-09-03T01:29:27Z</dcterms:created>
  <dc:creator>Un-named</dc:creator>
  <dc:description/>
  <dc:language>en-US</dc:language>
  <cp:lastModifiedBy/>
  <dcterms:modified xsi:type="dcterms:W3CDTF">2026-09-03T11:06:45Z</dcterms:modified>
  <cp:revision>2</cp:revision>
  <dc:subject/>
  <dc:title/>
</cp:coreProperties>
</file>