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after="80" w:line="460" w:lineRule="atLeast"/>
        <w:jc w:val="left"/>
      </w:pPr>
      <w:r>
        <w:rPr>
          <w:rFonts w:ascii="Avenir" w:cs="Avenir" w:eastAsia="Avenir" w:hAnsi="Avenir"/>
          <w:b/>
          <w:bCs/>
          <w:color w:val="1A1A2E"/>
          <w:sz w:val="36"/>
          <w:szCs w:val="36"/>
        </w:rPr>
        <w:t xml:space="preserve">Appendix C: Lab Interpretation Field Guide</w:t>
      </w:r>
    </w:p>
    <w:p>
      <w:pPr>
        <w:spacing w:before="0" w:after="800" w:line="320" w:lineRule="atLeast"/>
        <w:jc w:val="left"/>
      </w:pPr>
      <w:r>
        <w:rPr>
          <w:rFonts w:ascii="Avenir Book" w:cs="Avenir Book" w:eastAsia="Avenir Book" w:hAnsi="Avenir Book"/>
          <w:i/>
          <w:iCs/>
          <w:color w:val="1A1A2E"/>
          <w:sz w:val="26"/>
          <w:szCs w:val="26"/>
        </w:rPr>
        <w:t xml:space="preserve">What to Ask. What to Watch. What Changes Mean.</w:t>
      </w:r>
    </w:p>
    <w:p>
      <w:pPr>
        <w:spacing w:before="200" w:after="0" w:line="285" w:lineRule="exact"/>
        <w:ind w:firstLine="0"/>
        <w:jc w:val="both"/>
      </w:pPr>
      <w:r>
        <w:rPr>
          <w:rFonts w:ascii="Minion Pro" w:cs="Minion Pro" w:eastAsia="Minion Pro" w:hAnsi="Minion Pro"/>
          <w:color w:val="000000"/>
          <w:sz w:val="21"/>
          <w:szCs w:val="21"/>
        </w:rPr>
        <w:t xml:space="preserve">Laboratory values are often treated as verdicts. In metabolic care, they function better as signals, snapshots of physiology responding to fuel, hormones, stress, medications, and time. This appendix improves fluency, not replaces medical judgment.</w:t>
      </w:r>
    </w:p>
    <w:p>
      <w:pPr>
        <w:pStyle w:val="Heading1"/>
      </w:pPr>
      <w:r>
        <w:rPr>
          <w:rFonts w:ascii="Avenir Medium" w:cs="Avenir Medium" w:eastAsia="Avenir Medium" w:hAnsi="Avenir Medium"/>
          <w:b/>
          <w:bCs/>
          <w:color w:val="000000"/>
          <w:sz w:val="26"/>
          <w:szCs w:val="26"/>
        </w:rPr>
        <w:t xml:space="preserve">C.1 Reading Labs Through a Metabolic Lens</w:t>
      </w:r>
    </w:p>
    <w:p>
      <w:pPr>
        <w:spacing w:before="0" w:after="0" w:line="285" w:lineRule="exact"/>
        <w:ind w:firstLine="0"/>
        <w:jc w:val="both"/>
      </w:pPr>
      <w:r>
        <w:rPr>
          <w:rFonts w:ascii="Minion Pro" w:cs="Minion Pro" w:eastAsia="Minion Pro" w:hAnsi="Minion Pro"/>
          <w:color w:val="000000"/>
          <w:sz w:val="21"/>
          <w:szCs w:val="21"/>
        </w:rPr>
        <w:t xml:space="preserve">Most metabolic markers do not exist in isolation. Meaningful interpretation requires context:</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Current fuel environment</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Degree of insulin exposure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Whether weight loss is active or recent</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Medication effects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Sleep, stress, and training load</w:t>
      </w:r>
    </w:p>
    <w:p>
      <w:pPr>
        <w:spacing w:before="200" w:after="0" w:line="285" w:lineRule="exact"/>
        <w:ind w:firstLine="0"/>
        <w:jc w:val="both"/>
      </w:pPr>
      <w:r>
        <w:rPr>
          <w:rFonts w:ascii="Minion Pro" w:cs="Minion Pro" w:eastAsia="Minion Pro" w:hAnsi="Minion Pro"/>
          <w:color w:val="000000"/>
          <w:sz w:val="21"/>
          <w:szCs w:val="21"/>
        </w:rPr>
        <w:t xml:space="preserve">Laboratory values may fluctuate during metabolic transitions. A single abnormal result does not automatically indicate pathology.</w:t>
      </w:r>
    </w:p>
    <w:p>
      <w:pPr>
        <w:pStyle w:val="Heading1"/>
      </w:pPr>
      <w:r>
        <w:rPr>
          <w:rFonts w:ascii="Avenir Medium" w:cs="Avenir Medium" w:eastAsia="Avenir Medium" w:hAnsi="Avenir Medium"/>
          <w:b/>
          <w:bCs/>
          <w:color w:val="000000"/>
          <w:sz w:val="26"/>
          <w:szCs w:val="26"/>
        </w:rPr>
        <w:t xml:space="preserve">C.2 Glycemic Markers</w:t>
      </w:r>
    </w:p>
    <w:p>
      <w:pPr>
        <w:spacing w:before="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Average glucose exposure over approximately three months.</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May improve rapidly after carbohydrate reduction. May lag behind recent dietary change. Does not capture glycemic variability.</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How does this align with recent glucose patterns? Is a lagged response expected given recent interventions?</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Basal glucose regulation.</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May rise transiently during early low-carbohydrate adaptation. Influenced by sleep, stress, and circadian rhythm (dawn phenomenon).</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this value consistent across multiple measurements? How does it compare to post-meal glucose levels?</w:t>
      </w:r>
    </w:p>
    <w:p>
      <w:pPr>
        <w:pStyle w:val="Heading1"/>
      </w:pPr>
      <w:r>
        <w:rPr>
          <w:rFonts w:ascii="Avenir Medium" w:cs="Avenir Medium" w:eastAsia="Avenir Medium" w:hAnsi="Avenir Medium"/>
          <w:b/>
          <w:bCs/>
          <w:color w:val="000000"/>
          <w:sz w:val="26"/>
          <w:szCs w:val="26"/>
        </w:rPr>
        <w:t xml:space="preserve">C.3 Insulin and Insulin Burden</w:t>
      </w:r>
    </w:p>
    <w:p>
      <w:pPr>
        <w:spacing w:before="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Insulin demand in the fasted state.</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Elevated levels suggest insulin resistance. Often improves before visible weight change.</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insulin trending downward over time? How does this relate to triglycerides and HDL?</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Endogenous insulin production (released in equimolar amounts with insulin).</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Helps distinguish insulin production from insulin sensitivity. May remain elevated even as glucose improves.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insulin demand decreasing as fuel signals change?</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Calculated estimate of insulin resistance (fasting glucose × fasting insulin ÷ 405).</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Useful for tracking insulin sensitivity trends. Values above 2.5 suggest insulin resistance.</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HOMA-IR improving alongside other metabolic markers?</w:t>
      </w:r>
    </w:p>
    <w:p>
      <w:pPr>
        <w:pStyle w:val="Heading1"/>
      </w:pPr>
      <w:r>
        <w:rPr>
          <w:rFonts w:ascii="Avenir Medium" w:cs="Avenir Medium" w:eastAsia="Avenir Medium" w:hAnsi="Avenir Medium"/>
          <w:b/>
          <w:bCs/>
          <w:color w:val="000000"/>
          <w:sz w:val="26"/>
          <w:szCs w:val="26"/>
        </w:rPr>
        <w:t xml:space="preserve">C.4 Lipid Markers: Beyond the Standard Panel</w:t>
      </w:r>
    </w:p>
    <w:p>
      <w:pPr>
        <w:spacing w:before="0" w:after="0" w:line="285" w:lineRule="exact"/>
        <w:ind w:firstLine="0"/>
        <w:jc w:val="both"/>
      </w:pPr>
      <w:r>
        <w:rPr>
          <w:rFonts w:ascii="Minion Pro" w:cs="Minion Pro" w:eastAsia="Minion Pro" w:hAnsi="Minion Pro"/>
          <w:color w:val="000000"/>
          <w:sz w:val="21"/>
          <w:szCs w:val="21"/>
        </w:rPr>
        <w:t xml:space="preserve">The standard lipid panel (total cholesterol, LDL-C, HDL-C, triglycerides) was designed for population screening, not individual metabolic assessment. During dietary transitions, particularly with increased fat intake, these numbers require careful interpretation.</w:t>
      </w:r>
    </w:p>
    <w:p>
      <w:pPr>
        <w:pStyle w:val="Heading1"/>
      </w:pPr>
      <w:r>
        <w:rPr>
          <w:rFonts w:ascii="Avenir Medium" w:cs="Avenir Medium" w:eastAsia="Avenir Medium" w:hAnsi="Avenir Medium"/>
          <w:b/>
          <w:bCs/>
          <w:color w:val="000000"/>
          <w:sz w:val="26"/>
          <w:szCs w:val="26"/>
        </w:rPr>
        <w:t xml:space="preserve">What the Standard Panel Measures</w:t>
      </w:r>
    </w:p>
    <w:p>
      <w:pPr>
        <w:spacing w:before="0" w:after="0" w:line="285" w:lineRule="exact"/>
        <w:ind w:firstLine="0"/>
        <w:jc w:val="both"/>
      </w:pPr>
      <w:r>
        <w:rPr>
          <w:rFonts w:ascii="Minion Pro" w:cs="Minion Pro" w:eastAsia="Minion Pro" w:hAnsi="Minion Pro"/>
          <w:color w:val="000000"/>
          <w:sz w:val="21"/>
          <w:szCs w:val="21"/>
        </w:rPr>
        <w:t xml:space="preserve">LDL-C and HDL-C are calculated estimates of cholesterol content, not direct measurements of particles or risk. The Friedewald equation used to calculate LDL-C becomes unreliable when triglycerides are very low or very high.</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Hepatic handling of carbohydrates and fats.</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Often decrease substantially with reduced carbohydrate intake. Highly responsive to dietary change. Elevated levels reflect insulin resistance and carbohydrate excess.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Are triglycerides trending downward? What is the triglyceride-to-HDL ratio?</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Lipoprotein dynamics associated with metabolic health.</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Often rises with improved insulin sensitivity. Best interpreted alongside triglycerides. Low HDL correlates with insulin resistance.</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HDL improving over time? What is the triglyceride-to-HDL ratio (ideally &lt;2.0)?</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Estimated cholesterol content in LDL particles, not risk in isolation.</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May rise during weight loss or ketogenic adaptation. Calculation unreliable when triglycerides &lt;70 or &gt;400 mg/dL. Requires context: particle size, ApoB, metabolic status.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this accompanied by improvement in triglycerides and HDL? Are advanced markers available?</w:t>
      </w:r>
    </w:p>
    <w:p>
      <w:pPr>
        <w:pStyle w:val="Heading1"/>
      </w:pPr>
      <w:r>
        <w:rPr>
          <w:rFonts w:ascii="Avenir Medium" w:cs="Avenir Medium" w:eastAsia="Avenir Medium" w:hAnsi="Avenir Medium"/>
          <w:b/>
          <w:bCs/>
          <w:color w:val="000000"/>
          <w:sz w:val="26"/>
          <w:szCs w:val="26"/>
        </w:rPr>
        <w:t xml:space="preserve">The Triglyceride-to-HDL Ratio</w:t>
      </w:r>
    </w:p>
    <w:p>
      <w:pPr>
        <w:spacing w:before="0" w:after="0" w:line="285" w:lineRule="exact"/>
        <w:ind w:firstLine="0"/>
        <w:jc w:val="both"/>
      </w:pPr>
      <w:r>
        <w:rPr>
          <w:rFonts w:ascii="Minion Pro" w:cs="Minion Pro" w:eastAsia="Minion Pro" w:hAnsi="Minion Pro"/>
          <w:color w:val="000000"/>
          <w:sz w:val="21"/>
          <w:szCs w:val="21"/>
        </w:rPr>
        <w:t xml:space="preserve">This ratio serves as a practical surrogate marker for insulin resistance and small dense LDL. Calculate by dividing triglycerides by HDL (in mg/dL).</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Optimal: &lt;1.0</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Acceptable: 1.0-2.0</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Elevated risk: &gt;2.0</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High risk: &gt;3.0</w:t>
      </w:r>
    </w:p>
    <w:p>
      <w:pPr>
        <w:spacing w:before="200" w:after="0" w:line="285" w:lineRule="exact"/>
        <w:ind w:firstLine="0"/>
        <w:jc w:val="both"/>
      </w:pPr>
      <w:r>
        <w:rPr>
          <w:rFonts w:ascii="Minion Pro" w:cs="Minion Pro" w:eastAsia="Minion Pro" w:hAnsi="Minion Pro"/>
          <w:color w:val="000000"/>
          <w:sz w:val="21"/>
          <w:szCs w:val="21"/>
        </w:rPr>
        <w:t xml:space="preserve">A patient with LDL of 160 but triglyceride-to-HDL ratio of 1.2 has a different metabolic picture than one with LDL of 130 and a ratio of 4.5.</w:t>
      </w:r>
    </w:p>
    <w:p>
      <w:pPr>
        <w:pStyle w:val="Heading1"/>
      </w:pPr>
      <w:r>
        <w:rPr>
          <w:rFonts w:ascii="Avenir Medium" w:cs="Avenir Medium" w:eastAsia="Avenir Medium" w:hAnsi="Avenir Medium"/>
          <w:b/>
          <w:bCs/>
          <w:color w:val="000000"/>
          <w:sz w:val="26"/>
          <w:szCs w:val="26"/>
        </w:rPr>
        <w:t xml:space="preserve">When LDL Rises on Low-Carb: Context Matters</w:t>
      </w:r>
    </w:p>
    <w:p>
      <w:pPr>
        <w:spacing w:before="0" w:after="0" w:line="285" w:lineRule="exact"/>
        <w:ind w:firstLine="0"/>
        <w:jc w:val="both"/>
      </w:pPr>
      <w:r>
        <w:rPr>
          <w:rFonts w:ascii="Minion Pro" w:cs="Minion Pro" w:eastAsia="Minion Pro" w:hAnsi="Minion Pro"/>
          <w:color w:val="000000"/>
          <w:sz w:val="21"/>
          <w:szCs w:val="21"/>
        </w:rPr>
        <w:t xml:space="preserve">LDL cholesterol may increase during ketogenic dietary patterns. Before assuming pathology, assess: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Active weight loss: Mobilizing stored fat temporarily raises circulating lipids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Triglycerides: If falling, overall metabolic direction may be favorable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HDL: Rising HDL suggests improved lipoprotein function</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Particle characteristics: LDL-P or ApoB may tell a different story than LDL-C</w:t>
      </w:r>
    </w:p>
    <w:p>
      <w:pPr>
        <w:spacing w:before="200" w:after="0" w:line="285" w:lineRule="exact"/>
        <w:ind w:firstLine="0"/>
        <w:jc w:val="both"/>
      </w:pPr>
      <w:r>
        <w:rPr>
          <w:rFonts w:ascii="Minion Pro" w:cs="Minion Pro" w:eastAsia="Minion Pro" w:hAnsi="Minion Pro"/>
          <w:color w:val="000000"/>
          <w:sz w:val="21"/>
          <w:szCs w:val="21"/>
        </w:rPr>
        <w:t xml:space="preserve">A rising LDL-C with falling triglycerides, rising HDL, and improving insulin markers is not the same as rising LDL-C in the context of metabolic syndrome.</w:t>
      </w:r>
    </w:p>
    <w:p>
      <w:pPr>
        <w:pStyle w:val="Heading1"/>
      </w:pPr>
      <w:r>
        <w:rPr>
          <w:rFonts w:ascii="Avenir Medium" w:cs="Avenir Medium" w:eastAsia="Avenir Medium" w:hAnsi="Avenir Medium"/>
          <w:b/>
          <w:bCs/>
          <w:color w:val="000000"/>
          <w:sz w:val="26"/>
          <w:szCs w:val="26"/>
        </w:rPr>
        <w:t xml:space="preserve">Advanced Lipid Testing</w:t>
      </w:r>
    </w:p>
    <w:p>
      <w:pPr>
        <w:spacing w:before="0" w:after="0" w:line="285" w:lineRule="exact"/>
        <w:ind w:firstLine="0"/>
        <w:jc w:val="both"/>
      </w:pPr>
      <w:r>
        <w:rPr>
          <w:rFonts w:ascii="Minion Pro" w:cs="Minion Pro" w:eastAsia="Minion Pro" w:hAnsi="Minion Pro"/>
          <w:color w:val="000000"/>
          <w:sz w:val="21"/>
          <w:szCs w:val="21"/>
        </w:rPr>
        <w:t xml:space="preserve">When standard panels create confusion, advanced testing provides clarity:</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Structural protein present on every atherogenic lipoprotein particle.</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Directly measures particle number. More predictive than LDL-C for cardiovascular risk. Optimal: &lt;90 mg/dL; ideal: &lt;80 mg/dL.</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Does ApoB correlate with the standard panel? Is particle number elevated despite favorable triglycerides and HDL?</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Direct count of LDL particles via NMR spectroscopy.</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Small dense LDL increases particle number at the same cholesterol content. High LDL-P with normal LDL-C suggests residual risk.</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LDL-P discordant with LDL-C? What does particle size distribution show?</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Genetically determined lipoprotein variant associated with cardiovascular risk.</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Largely unaffected by diet or lifestyle. Important to measure once for baseline risk stratification. Elevated Lp(a) may warrant more aggressive management.</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Has Lp(a) been measured? Is there a family history of early cardiovascular disease?</w:t>
      </w:r>
    </w:p>
    <w:p>
      <w:pPr>
        <w:pStyle w:val="Heading1"/>
      </w:pPr>
      <w:r>
        <w:rPr>
          <w:rFonts w:ascii="Avenir Medium" w:cs="Avenir Medium" w:eastAsia="Avenir Medium" w:hAnsi="Avenir Medium"/>
          <w:b/>
          <w:bCs/>
          <w:color w:val="000000"/>
          <w:sz w:val="26"/>
          <w:szCs w:val="26"/>
        </w:rPr>
        <w:t xml:space="preserve">C.5 Liver Enzymes</w:t>
      </w:r>
    </w:p>
    <w:p>
      <w:pPr>
        <w:spacing w:before="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Hepatic stress or inflammation.</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Commonly elevated in insulin resistance and non-alcoholic fatty liver disease. Often improve as insulin burden decreases and hepatic fat clears.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Are trends improving alongside glycemic markers? Has fatty liver been evaluated?</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Hepatic and biliary function; marker of oxidative stress.</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Sensitive marker for metabolic stress. Often elevated with insulin resistance. May decrease with improved metabolic status.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GGT trending with other metabolic markers?</w:t>
      </w:r>
    </w:p>
    <w:p>
      <w:pPr>
        <w:pStyle w:val="Heading1"/>
      </w:pPr>
      <w:r>
        <w:rPr>
          <w:rFonts w:ascii="Avenir Medium" w:cs="Avenir Medium" w:eastAsia="Avenir Medium" w:hAnsi="Avenir Medium"/>
          <w:b/>
          <w:bCs/>
          <w:color w:val="000000"/>
          <w:sz w:val="26"/>
          <w:szCs w:val="26"/>
        </w:rPr>
        <w:t xml:space="preserve">C.6 Inflammatory Markers</w:t>
      </w:r>
    </w:p>
    <w:p>
      <w:pPr>
        <w:spacing w:before="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Systemic inflammation.</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Elevated with metabolic syndrome. Often decreases with weight loss and reduced carbohydrate intake. Can be falsely elevated with acute illness.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Has hs-CRP been checked at baseline? Is it trending with metabolic improvement?</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Purine metabolism and insulin resistance.</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May rise transiently during early ketosis as kidneys adjust. Often stabilizes with adaptation and adequate hydration. Persistently elevated levels warrant evaluation.</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this elevation temporary or persistent? How does hydration factor into this value?</w:t>
      </w:r>
    </w:p>
    <w:p>
      <w:pPr>
        <w:pStyle w:val="Heading1"/>
      </w:pPr>
      <w:r>
        <w:rPr>
          <w:rFonts w:ascii="Avenir Medium" w:cs="Avenir Medium" w:eastAsia="Avenir Medium" w:hAnsi="Avenir Medium"/>
          <w:b/>
          <w:bCs/>
          <w:color w:val="000000"/>
          <w:sz w:val="26"/>
          <w:szCs w:val="26"/>
        </w:rPr>
        <w:t xml:space="preserve">C.7 Kidney Function</w:t>
      </w:r>
    </w:p>
    <w:p>
      <w:pPr>
        <w:spacing w:before="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Kidney filtration capacity.</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May be affected by protein intake and muscle mass. Higher muscle mass can elevate creatinine without indicating kidney damage. Cystatin-C provides alternative estimate less affected by muscle.</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creatinine stable over time? Are there other signs of kidney dysfunction?</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Protein metabolism and kidney function.</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May rise with increased protein intake. Hydration status affects values. BUN/creatinine ratio provides context.</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Is the BUN/creatinine ratio within normal limits? Is hydration adequate?</w:t>
      </w:r>
    </w:p>
    <w:p>
      <w:pPr>
        <w:pStyle w:val="Heading1"/>
      </w:pPr>
      <w:r>
        <w:rPr>
          <w:rFonts w:ascii="Avenir Medium" w:cs="Avenir Medium" w:eastAsia="Avenir Medium" w:hAnsi="Avenir Medium"/>
          <w:b/>
          <w:bCs/>
          <w:color w:val="000000"/>
          <w:sz w:val="26"/>
          <w:szCs w:val="26"/>
        </w:rPr>
        <w:t xml:space="preserve">C.8 Electrolytes During Metabolic Transition</w:t>
      </w:r>
    </w:p>
    <w:p>
      <w:pPr>
        <w:spacing w:before="0" w:after="0" w:line="285" w:lineRule="exact"/>
        <w:ind w:firstLine="0"/>
        <w:jc w:val="both"/>
      </w:pPr>
      <w:r>
        <w:rPr>
          <w:rFonts w:ascii="Minion Pro" w:cs="Minion Pro" w:eastAsia="Minion Pro" w:hAnsi="Minion Pro"/>
          <w:color w:val="000000"/>
          <w:sz w:val="21"/>
          <w:szCs w:val="21"/>
        </w:rPr>
        <w:t xml:space="preserve">Low-carbohydrate diets reduce insulin levels, which affects kidney sodium handling. This can cause electrolyte shifts requiring attention:</w:t>
      </w:r>
    </w:p>
    <w:p>
      <w:pPr>
        <w:spacing w:before="200" w:after="0" w:line="285" w:lineRule="exact"/>
        <w:ind w:firstLine="0"/>
        <w:jc w:val="both"/>
      </w:pPr>
      <w:r>
        <w:rPr>
          <w:rFonts w:ascii="Minion Pro" w:cs="Minion Pro" w:eastAsia="Minion Pro" w:hAnsi="Minion Pro"/>
          <w:b/>
          <w:bCs/>
          <w:color w:val="000000"/>
          <w:sz w:val="21"/>
          <w:szCs w:val="21"/>
        </w:rPr>
        <w:t xml:space="preserve">What it reflects:</w:t>
      </w:r>
      <w:r>
        <w:rPr>
          <w:rFonts w:ascii="Minion Pro" w:cs="Minion Pro" w:eastAsia="Minion Pro" w:hAnsi="Minion Pro"/>
          <w:color w:val="000000"/>
          <w:sz w:val="21"/>
          <w:szCs w:val="21"/>
        </w:rPr>
        <w:t xml:space="preserve"> Electrolyte balance critical for muscle function, heart rhythm, and energy.</w:t>
      </w:r>
    </w:p>
    <w:p>
      <w:pPr>
        <w:spacing w:before="200" w:after="0" w:line="285" w:lineRule="exact"/>
        <w:ind w:firstLine="0"/>
        <w:jc w:val="both"/>
      </w:pPr>
      <w:r>
        <w:rPr>
          <w:rFonts w:ascii="Minion Pro" w:cs="Minion Pro" w:eastAsia="Minion Pro" w:hAnsi="Minion Pro"/>
          <w:b/>
          <w:bCs/>
          <w:color w:val="000000"/>
          <w:sz w:val="21"/>
          <w:szCs w:val="21"/>
        </w:rPr>
        <w:t xml:space="preserve">Metabolic considerations:</w:t>
      </w:r>
      <w:r>
        <w:rPr>
          <w:rFonts w:ascii="Minion Pro" w:cs="Minion Pro" w:eastAsia="Minion Pro" w:hAnsi="Minion Pro"/>
          <w:color w:val="000000"/>
          <w:sz w:val="21"/>
          <w:szCs w:val="21"/>
        </w:rPr>
        <w:t xml:space="preserve"> Reduced insulin increases sodium excretion, which can deplete potassium and magnesium. Supplementation often needed during adaptation. Symptoms include fatigue, cramps, and palpitations.</w:t>
      </w:r>
    </w:p>
    <w:p>
      <w:pPr>
        <w:spacing w:before="200" w:after="0" w:line="285" w:lineRule="exact"/>
        <w:ind w:firstLine="0"/>
        <w:jc w:val="both"/>
      </w:pPr>
      <w:r>
        <w:rPr>
          <w:rFonts w:ascii="Minion Pro" w:cs="Minion Pro" w:eastAsia="Minion Pro" w:hAnsi="Minion Pro"/>
          <w:b/>
          <w:bCs/>
          <w:color w:val="000000"/>
          <w:sz w:val="21"/>
          <w:szCs w:val="21"/>
        </w:rPr>
        <w:t xml:space="preserve">Questions to ask:</w:t>
      </w:r>
      <w:r>
        <w:rPr>
          <w:rFonts w:ascii="Minion Pro" w:cs="Minion Pro" w:eastAsia="Minion Pro" w:hAnsi="Minion Pro"/>
          <w:color w:val="000000"/>
          <w:sz w:val="21"/>
          <w:szCs w:val="21"/>
        </w:rPr>
        <w:t xml:space="preserve"> Are electrolytes being supplemented? Have symptoms of depletion been addressed?</w:t>
      </w:r>
    </w:p>
    <w:p>
      <w:pPr>
        <w:pStyle w:val="Heading1"/>
      </w:pPr>
      <w:r>
        <w:rPr>
          <w:rFonts w:ascii="Avenir Medium" w:cs="Avenir Medium" w:eastAsia="Avenir Medium" w:hAnsi="Avenir Medium"/>
          <w:b/>
          <w:bCs/>
          <w:color w:val="000000"/>
          <w:sz w:val="26"/>
          <w:szCs w:val="26"/>
        </w:rPr>
        <w:t xml:space="preserve">C.9 When to Escalate</w:t>
      </w:r>
    </w:p>
    <w:p>
      <w:pPr>
        <w:spacing w:before="0" w:after="0" w:line="285" w:lineRule="exact"/>
        <w:ind w:firstLine="0"/>
        <w:jc w:val="both"/>
      </w:pPr>
      <w:r>
        <w:rPr>
          <w:rFonts w:ascii="Minion Pro" w:cs="Minion Pro" w:eastAsia="Minion Pro" w:hAnsi="Minion Pro"/>
          <w:color w:val="000000"/>
          <w:sz w:val="21"/>
          <w:szCs w:val="21"/>
        </w:rPr>
        <w:t xml:space="preserve">Metabolic transitions produce expected variations. However, clinical escalation is warranted for:</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Persistent or worsening hyperglycemia despite adherence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Significant electrolyte abnormalities (especially potassium)</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Marked liver enzyme elevation (ALT/AST &gt;3x upper limit)</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Declining renal function</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Concerning symptoms paired with lab changes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Blood ketones &gt;3.0 mmol/L with symptoms (nausea, vomiting, abdominal pain)</w:t>
      </w:r>
    </w:p>
    <w:p>
      <w:pPr>
        <w:spacing w:before="200" w:after="0" w:line="285" w:lineRule="exact"/>
        <w:ind w:firstLine="0"/>
        <w:jc w:val="both"/>
      </w:pPr>
      <w:r>
        <w:rPr>
          <w:rFonts w:ascii="Minion Pro" w:cs="Minion Pro" w:eastAsia="Minion Pro" w:hAnsi="Minion Pro"/>
          <w:color w:val="000000"/>
          <w:sz w:val="21"/>
          <w:szCs w:val="21"/>
        </w:rPr>
        <w:t xml:space="preserve">Fuel-first care does not override medical prudence.</w:t>
      </w:r>
    </w:p>
    <w:p>
      <w:pPr>
        <w:pStyle w:val="Heading1"/>
      </w:pPr>
      <w:r>
        <w:rPr>
          <w:rFonts w:ascii="Avenir Medium" w:cs="Avenir Medium" w:eastAsia="Avenir Medium" w:hAnsi="Avenir Medium"/>
          <w:b/>
          <w:bCs/>
          <w:color w:val="000000"/>
          <w:sz w:val="26"/>
          <w:szCs w:val="26"/>
        </w:rPr>
        <w:t xml:space="preserve">C.10 The Role of Dialogue</w:t>
      </w:r>
    </w:p>
    <w:p>
      <w:pPr>
        <w:spacing w:before="0" w:after="0" w:line="285" w:lineRule="exact"/>
        <w:ind w:firstLine="0"/>
        <w:jc w:val="both"/>
      </w:pPr>
      <w:r>
        <w:rPr>
          <w:rFonts w:ascii="Minion Pro" w:cs="Minion Pro" w:eastAsia="Minion Pro" w:hAnsi="Minion Pro"/>
          <w:color w:val="000000"/>
          <w:sz w:val="21"/>
          <w:szCs w:val="21"/>
        </w:rPr>
        <w:t xml:space="preserve">Lab literacy is not self-management. It is better conversation.</w:t>
      </w:r>
    </w:p>
    <w:p>
      <w:pPr>
        <w:spacing w:before="200" w:after="0" w:line="285" w:lineRule="exact"/>
        <w:ind w:firstLine="0"/>
        <w:jc w:val="both"/>
      </w:pPr>
      <w:r>
        <w:rPr>
          <w:rFonts w:ascii="Minion Pro" w:cs="Minion Pro" w:eastAsia="Minion Pro" w:hAnsi="Minion Pro"/>
          <w:color w:val="000000"/>
          <w:sz w:val="21"/>
          <w:szCs w:val="21"/>
        </w:rPr>
        <w:t xml:space="preserve">When patients understand what labs reflect, they can:</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Engage more productively with their clinicians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Avoid unnecessary fear from isolated values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Participate in shared decision-making</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Track meaningful trends over time</w:t>
      </w:r>
    </w:p>
    <w:p>
      <w:pPr>
        <w:spacing w:before="200" w:after="0" w:line="285" w:lineRule="exact"/>
        <w:ind w:firstLine="0"/>
        <w:jc w:val="both"/>
      </w:pPr>
      <w:r>
        <w:rPr>
          <w:rFonts w:ascii="Minion Pro" w:cs="Minion Pro" w:eastAsia="Minion Pro" w:hAnsi="Minion Pro"/>
          <w:color w:val="000000"/>
          <w:sz w:val="21"/>
          <w:szCs w:val="21"/>
        </w:rPr>
        <w:t xml:space="preserve">That dialogue is where meaningful metabolic care begins.</w:t>
      </w:r>
    </w:p>
    <w:sectPr>
      <w:pgSz w:w="8640" w:h="12960" w:orient="portrait"/>
      <w:pgMar w:top="900" w:right="72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nion Pro" w:cs="Minion Pro" w:eastAsia="Minion Pro" w:hAnsi="Minion Pro"/>
        <w:color w:val="000000"/>
        <w:sz w:val="21"/>
        <w:szCs w:val="21"/>
      </w:rPr>
    </w:rPrDefault>
    <w:pPrDefault>
      <w:pPr>
        <w:spacing w:line="285"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keepLines/>
      <w:spacing w:before="400" w:after="160" w:line="312" w:lineRule="atLeast"/>
      <w:jc w:val="left"/>
      <w:outlineLvl w:val="0"/>
    </w:pPr>
    <w:rPr>
      <w:rFonts w:ascii="Avenir Medium" w:cs="Avenir Medium" w:eastAsia="Avenir Medium" w:hAnsi="Avenir Medium"/>
      <w:b/>
      <w:bCs/>
      <w:color w:val="000000"/>
      <w:sz w:val="26"/>
      <w:szCs w:val="26"/>
    </w:rPr>
  </w:style>
  <w:style w:type="paragraph" w:styleId="Heading2">
    <w:name w:val="Heading 2"/>
    <w:basedOn w:val="Normal"/>
    <w:next w:val="Normal"/>
    <w:qFormat/>
    <w:pPr>
      <w:keepNext/>
      <w:keepLines/>
      <w:spacing w:before="280" w:after="80" w:line="276" w:lineRule="atLeast"/>
      <w:jc w:val="left"/>
      <w:outlineLvl w:val="1"/>
    </w:pPr>
    <w:rPr>
      <w:rFonts w:ascii="Avenir Book" w:cs="Avenir Book" w:eastAsia="Avenir Book" w:hAnsi="Avenir Book"/>
      <w:b/>
      <w:bCs/>
      <w:color w:val="000000"/>
      <w:sz w:val="23"/>
      <w:szCs w:val="23"/>
    </w:rPr>
  </w:style>
  <w:style w:type="paragraph" w:styleId="Heading3">
    <w:name w:val="Heading 3"/>
    <w:basedOn w:val="Normal"/>
    <w:next w:val="Normal"/>
    <w:qFormat/>
    <w:pPr>
      <w:keepNext/>
      <w:spacing w:before="200" w:after="80" w:line="252" w:lineRule="atLeast"/>
      <w:jc w:val="left"/>
      <w:outlineLvl w:val="2"/>
    </w:pPr>
    <w:rPr>
      <w:rFonts w:ascii="Avenir Book" w:cs="Avenir Book" w:eastAsia="Avenir Book" w:hAnsi="Avenir Book"/>
      <w:i/>
      <w:iCs/>
      <w:color w:val="000000"/>
      <w:sz w:val="21"/>
      <w:szCs w:val="21"/>
    </w:rPr>
  </w:style>
  <w:style w:type="paragraph" w:styleId="BodyFirst">
    <w:name w:val="Body First"/>
    <w:basedOn w:val="Normal"/>
    <w:next w:val="Normal"/>
    <w:qFormat/>
    <w:pPr>
      <w:spacing w:before="0" w:after="0" w:line="285" w:lineRule="exact"/>
      <w:ind w:firstLine="0"/>
      <w:jc w:val="both"/>
    </w:pPr>
    <w:rPr>
      <w:rFonts w:ascii="Minion Pro" w:cs="Minion Pro" w:eastAsia="Minion Pro" w:hAnsi="Minion Pro"/>
      <w:color w:val="000000"/>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2026-02-22T10:39:27.237Z</dcterms:created>
  <dcterms:modified xsi:type="dcterms:W3CDTF">2026-02-22T10:39:27.238Z</dcterms:modified>
</cp:coreProperties>
</file>

<file path=docProps/custom.xml><?xml version="1.0" encoding="utf-8"?>
<Properties xmlns="http://schemas.openxmlformats.org/officeDocument/2006/custom-properties" xmlns:vt="http://schemas.openxmlformats.org/officeDocument/2006/docPropsVTypes"/>
</file>