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D5633F" w14:textId="77777777" w:rsidR="00340BC2" w:rsidRDefault="00000000">
      <w:pPr>
        <w:spacing w:before="600" w:after="80" w:line="460" w:lineRule="atLeast"/>
      </w:pPr>
      <w:r>
        <w:rPr>
          <w:rFonts w:ascii="Avenir" w:eastAsia="Avenir" w:hAnsi="Avenir" w:cs="Avenir"/>
          <w:b/>
          <w:bCs/>
          <w:color w:val="1A1A2E"/>
          <w:sz w:val="36"/>
          <w:szCs w:val="36"/>
        </w:rPr>
        <w:t>Appendix E: Claim Ledger &amp; Evidence Spine</w:t>
      </w:r>
    </w:p>
    <w:p w14:paraId="0C4D5882" w14:textId="77777777" w:rsidR="00340BC2" w:rsidRDefault="00000000">
      <w:pPr>
        <w:spacing w:after="800" w:line="320" w:lineRule="atLeast"/>
      </w:pPr>
      <w:r>
        <w:rPr>
          <w:rFonts w:ascii="Avenir Book" w:eastAsia="Avenir Book" w:hAnsi="Avenir Book" w:cs="Avenir Book"/>
          <w:i/>
          <w:iCs/>
          <w:color w:val="1A1A2E"/>
          <w:sz w:val="26"/>
          <w:szCs w:val="26"/>
        </w:rPr>
        <w:t>How Claims Are Supported in This Book</w:t>
      </w:r>
    </w:p>
    <w:p w14:paraId="0E4926EE" w14:textId="77777777" w:rsidR="00340BC2" w:rsidRDefault="00000000">
      <w:pPr>
        <w:pStyle w:val="Heading1"/>
      </w:pPr>
      <w:r>
        <w:t>Claim Ledger &amp; Evidence Spine</w:t>
      </w:r>
    </w:p>
    <w:p w14:paraId="276738AD" w14:textId="77777777" w:rsidR="00340BC2" w:rsidRDefault="00000000">
      <w:pPr>
        <w:pStyle w:val="Heading1"/>
      </w:pPr>
      <w:r>
        <w:t>How Claims Are Supported in This Book</w:t>
      </w:r>
    </w:p>
    <w:p w14:paraId="3DF611E0" w14:textId="77777777" w:rsidR="00340BC2" w:rsidRDefault="00000000">
      <w:pPr>
        <w:jc w:val="both"/>
      </w:pPr>
      <w:r>
        <w:t>This appendix documents the evidence architecture underlying PhatPharm: Fat is the New Rx.</w:t>
      </w:r>
    </w:p>
    <w:p w14:paraId="24188DBA" w14:textId="77777777" w:rsidR="00340BC2" w:rsidRDefault="00000000">
      <w:pPr>
        <w:spacing w:before="200"/>
        <w:jc w:val="both"/>
      </w:pPr>
      <w:r>
        <w:t>Rather than embedding citations and qualifiers throughout the narrative, the book separates claims from citations to preserve clarity and flow. This appendix provides the evidentiary context necessary to evaluate those claims responsibly.</w:t>
      </w:r>
    </w:p>
    <w:p w14:paraId="5D01D9C2" w14:textId="77777777" w:rsidR="00340BC2" w:rsidRDefault="00000000">
      <w:pPr>
        <w:spacing w:before="200"/>
        <w:jc w:val="both"/>
      </w:pPr>
      <w:r>
        <w:t>Claims are categorized by type, supported by multiple sources, and framed according to the strength and maturity of available evidence.</w:t>
      </w:r>
    </w:p>
    <w:p w14:paraId="2B0BC25E" w14:textId="77777777" w:rsidR="00340BC2" w:rsidRDefault="00000000">
      <w:pPr>
        <w:spacing w:before="200"/>
        <w:jc w:val="both"/>
      </w:pPr>
      <w:r>
        <w:t>This is not a literature review.</w:t>
      </w:r>
    </w:p>
    <w:p w14:paraId="7D2C5049" w14:textId="77777777" w:rsidR="00340BC2" w:rsidRDefault="00000000">
      <w:pPr>
        <w:spacing w:before="200"/>
        <w:jc w:val="both"/>
      </w:pPr>
      <w:r>
        <w:t>It is an accountability map.</w:t>
      </w:r>
    </w:p>
    <w:p w14:paraId="2810ECF1" w14:textId="77777777" w:rsidR="00340BC2" w:rsidRDefault="00000000">
      <w:pPr>
        <w:spacing w:before="200"/>
        <w:jc w:val="both"/>
      </w:pPr>
      <w:r>
        <w:t>Each claim is categorized by its dominant evidentiary basis:</w:t>
      </w:r>
    </w:p>
    <w:p w14:paraId="2C5EAD19" w14:textId="77777777" w:rsidR="00340BC2" w:rsidRDefault="00000000">
      <w:pPr>
        <w:pStyle w:val="ListParagraph"/>
        <w:numPr>
          <w:ilvl w:val="0"/>
          <w:numId w:val="2"/>
        </w:numPr>
        <w:spacing w:before="60"/>
      </w:pPr>
      <w:r>
        <w:t>Mechanistic: Derived from physiology, cellular biology, or metabolic pathways</w:t>
      </w:r>
    </w:p>
    <w:p w14:paraId="47235FDD" w14:textId="77777777" w:rsidR="00340BC2" w:rsidRDefault="00000000">
      <w:pPr>
        <w:pStyle w:val="ListParagraph"/>
        <w:numPr>
          <w:ilvl w:val="0"/>
          <w:numId w:val="2"/>
        </w:numPr>
        <w:spacing w:before="60"/>
      </w:pPr>
      <w:r>
        <w:t>Clinical-outcome: Supported by randomized controlled trials, cohort studies, or real-world outcomes</w:t>
      </w:r>
    </w:p>
    <w:p w14:paraId="33217B93" w14:textId="77777777" w:rsidR="00340BC2" w:rsidRDefault="00000000">
      <w:pPr>
        <w:pStyle w:val="ListParagraph"/>
        <w:numPr>
          <w:ilvl w:val="0"/>
          <w:numId w:val="2"/>
        </w:numPr>
        <w:spacing w:before="60"/>
      </w:pPr>
      <w:r>
        <w:t>Genetic / Epidemiologic: Based on population-level or genetic association data</w:t>
      </w:r>
    </w:p>
    <w:p w14:paraId="268E8B86" w14:textId="77777777" w:rsidR="00340BC2" w:rsidRDefault="00000000">
      <w:pPr>
        <w:pStyle w:val="ListParagraph"/>
        <w:numPr>
          <w:ilvl w:val="0"/>
          <w:numId w:val="2"/>
        </w:numPr>
        <w:spacing w:before="60"/>
      </w:pPr>
      <w:r>
        <w:t>Systems-incentive: Grounded in healthcare policy, reimbursement structures, and care delivery models</w:t>
      </w:r>
    </w:p>
    <w:p w14:paraId="458B5458" w14:textId="77777777" w:rsidR="00340BC2" w:rsidRDefault="00000000">
      <w:pPr>
        <w:pStyle w:val="ListParagraph"/>
        <w:numPr>
          <w:ilvl w:val="0"/>
          <w:numId w:val="2"/>
        </w:numPr>
        <w:spacing w:before="60"/>
      </w:pPr>
      <w:r>
        <w:lastRenderedPageBreak/>
        <w:t>Clinical-practice / Interpretive: Based on applied clinical reasoning and diagnostic interpretation</w:t>
      </w:r>
    </w:p>
    <w:p w14:paraId="0D2F8472" w14:textId="77777777" w:rsidR="00340BC2" w:rsidRDefault="00000000">
      <w:pPr>
        <w:pStyle w:val="ListParagraph"/>
        <w:numPr>
          <w:ilvl w:val="0"/>
          <w:numId w:val="2"/>
        </w:numPr>
        <w:spacing w:before="60"/>
      </w:pPr>
      <w:r>
        <w:t>Integrative: Synthesizes mechanistic, clinical, and systems evidence</w:t>
      </w:r>
    </w:p>
    <w:p w14:paraId="72F8C009" w14:textId="77777777" w:rsidR="00340BC2" w:rsidRDefault="00000000">
      <w:pPr>
        <w:pStyle w:val="ListParagraph"/>
        <w:numPr>
          <w:ilvl w:val="0"/>
          <w:numId w:val="2"/>
        </w:numPr>
        <w:spacing w:before="60"/>
      </w:pPr>
      <w:r>
        <w:t>Narrative / Contextual: Reflects documented structural realities rather than experimental data</w:t>
      </w:r>
    </w:p>
    <w:p w14:paraId="4BEC0311" w14:textId="77777777" w:rsidR="00340BC2" w:rsidRDefault="00000000">
      <w:pPr>
        <w:spacing w:before="200"/>
        <w:jc w:val="both"/>
      </w:pPr>
      <w:r>
        <w:t>Claims may span multiple categories.</w:t>
      </w:r>
    </w:p>
    <w:p w14:paraId="383E8F4C" w14:textId="77777777" w:rsidR="00340BC2" w:rsidRDefault="00000000">
      <w:pPr>
        <w:pStyle w:val="Heading1"/>
      </w:pPr>
      <w:r>
        <w:t>Evidence Strength Key</w:t>
      </w:r>
    </w:p>
    <w:p w14:paraId="530C3492" w14:textId="77777777" w:rsidR="00340BC2" w:rsidRDefault="00000000">
      <w:pPr>
        <w:pStyle w:val="ListParagraph"/>
        <w:numPr>
          <w:ilvl w:val="0"/>
          <w:numId w:val="2"/>
        </w:numPr>
        <w:spacing w:before="60"/>
      </w:pPr>
      <w:r>
        <w:t>High confidence -- Supported by multiple RCTs, meta-analyses, or convergent mechanistic evidence</w:t>
      </w:r>
    </w:p>
    <w:p w14:paraId="16499657" w14:textId="77777777" w:rsidR="00340BC2" w:rsidRDefault="00000000">
      <w:pPr>
        <w:pStyle w:val="ListParagraph"/>
        <w:numPr>
          <w:ilvl w:val="0"/>
          <w:numId w:val="2"/>
        </w:numPr>
        <w:spacing w:before="60"/>
      </w:pPr>
      <w:r>
        <w:t>Moderate confidence -- Supported by RCTs with limitations, strong cohorts, or consistent mechanistic data</w:t>
      </w:r>
    </w:p>
    <w:p w14:paraId="20193E28" w14:textId="77777777" w:rsidR="00340BC2" w:rsidRDefault="00000000">
      <w:pPr>
        <w:pStyle w:val="ListParagraph"/>
        <w:numPr>
          <w:ilvl w:val="0"/>
          <w:numId w:val="2"/>
        </w:numPr>
        <w:spacing w:before="60"/>
      </w:pPr>
      <w:r>
        <w:t>Emerging evidence -- Plausible and supported, but not yet definitive</w:t>
      </w:r>
    </w:p>
    <w:p w14:paraId="03724101" w14:textId="77777777" w:rsidR="00340BC2" w:rsidRDefault="00000000">
      <w:pPr>
        <w:pStyle w:val="ListParagraph"/>
        <w:numPr>
          <w:ilvl w:val="0"/>
          <w:numId w:val="2"/>
        </w:numPr>
        <w:spacing w:before="60"/>
      </w:pPr>
      <w:r>
        <w:t>Contextual -- Systems- or narrative-based claims grounded in documented structures rather than experiments</w:t>
      </w:r>
    </w:p>
    <w:p w14:paraId="513466E1" w14:textId="77777777" w:rsidR="00340BC2" w:rsidRDefault="00000000">
      <w:pPr>
        <w:jc w:val="both"/>
      </w:pPr>
      <w:r>
        <w:t>All claims are intentionally bounded. Where evidence is evolving, language reflects that uncertainty.</w:t>
      </w:r>
    </w:p>
    <w:p w14:paraId="625BA352" w14:textId="77777777" w:rsidR="00340BC2" w:rsidRDefault="00000000">
      <w:pPr>
        <w:pStyle w:val="Heading1"/>
      </w:pPr>
      <w:r>
        <w:t>Core Claim Ledger (Reader-Facing)</w:t>
      </w:r>
    </w:p>
    <w:p w14:paraId="70957BF8" w14:textId="77777777" w:rsidR="00340BC2" w:rsidRDefault="00000000">
      <w:pPr>
        <w:pStyle w:val="Heading1"/>
      </w:pPr>
      <w:r>
        <w:t>E-01</w:t>
      </w:r>
    </w:p>
    <w:p w14:paraId="31C1CA9C" w14:textId="77777777" w:rsidR="00340BC2" w:rsidRDefault="00000000">
      <w:pPr>
        <w:jc w:val="both"/>
      </w:pPr>
      <w:r>
        <w:rPr>
          <w:b/>
          <w:bCs/>
        </w:rPr>
        <w:t>Claim:</w:t>
      </w:r>
      <w:r>
        <w:t xml:space="preserve"> Metabolic disease primarily reflects impaired fuel handling rather than a failure of willpower.</w:t>
      </w:r>
    </w:p>
    <w:p w14:paraId="7286A3B4" w14:textId="77777777" w:rsidR="00340BC2" w:rsidRDefault="00000000">
      <w:pPr>
        <w:spacing w:before="200"/>
        <w:jc w:val="both"/>
      </w:pPr>
      <w:r>
        <w:rPr>
          <w:b/>
          <w:bCs/>
        </w:rPr>
        <w:t>Type:</w:t>
      </w:r>
      <w:r>
        <w:t xml:space="preserve"> Mechanistic</w:t>
      </w:r>
    </w:p>
    <w:p w14:paraId="324312D9" w14:textId="77777777" w:rsidR="00340BC2" w:rsidRDefault="00000000">
      <w:pPr>
        <w:spacing w:before="200"/>
        <w:jc w:val="both"/>
      </w:pPr>
      <w:r>
        <w:rPr>
          <w:b/>
          <w:bCs/>
        </w:rPr>
        <w:t>Evidence Strength:</w:t>
      </w:r>
      <w:r>
        <w:t xml:space="preserve"> High</w:t>
      </w:r>
    </w:p>
    <w:p w14:paraId="5236DC3B" w14:textId="77777777" w:rsidR="00340BC2" w:rsidRDefault="00000000">
      <w:pPr>
        <w:spacing w:before="200"/>
        <w:jc w:val="both"/>
      </w:pPr>
      <w:r>
        <w:rPr>
          <w:b/>
          <w:bCs/>
        </w:rPr>
        <w:t>Evidence Base:</w:t>
      </w:r>
      <w:r>
        <w:t xml:space="preserve"> Insulin resistance physiology, ectopic fat, lipotoxicity</w:t>
      </w:r>
    </w:p>
    <w:p w14:paraId="1DABB5A0" w14:textId="77777777" w:rsidR="00340BC2" w:rsidRDefault="00000000">
      <w:pPr>
        <w:spacing w:before="200"/>
        <w:jc w:val="both"/>
      </w:pPr>
      <w:r>
        <w:rPr>
          <w:b/>
          <w:bCs/>
        </w:rPr>
        <w:t>Notes:</w:t>
      </w:r>
      <w:r>
        <w:t xml:space="preserve"> Willpower framing rejected in contemporary metabolic science.</w:t>
      </w:r>
    </w:p>
    <w:p w14:paraId="5F638E12" w14:textId="77777777" w:rsidR="00340BC2" w:rsidRDefault="00000000">
      <w:pPr>
        <w:spacing w:before="200"/>
        <w:jc w:val="both"/>
      </w:pPr>
      <w:r>
        <w:rPr>
          <w:b/>
          <w:bCs/>
        </w:rPr>
        <w:t>Citation Mapping:</w:t>
      </w:r>
      <w:r>
        <w:t xml:space="preserve"> See Appendix F, Section(s) F.2</w:t>
      </w:r>
    </w:p>
    <w:p w14:paraId="094E254E" w14:textId="77777777" w:rsidR="00340BC2" w:rsidRDefault="00000000">
      <w:pPr>
        <w:pStyle w:val="Heading1"/>
      </w:pPr>
      <w:r>
        <w:lastRenderedPageBreak/>
        <w:t>E-02</w:t>
      </w:r>
    </w:p>
    <w:p w14:paraId="15F9CFDF" w14:textId="77777777" w:rsidR="00340BC2" w:rsidRDefault="00000000">
      <w:pPr>
        <w:jc w:val="both"/>
      </w:pPr>
      <w:r>
        <w:rPr>
          <w:b/>
          <w:bCs/>
        </w:rPr>
        <w:t>Claim:</w:t>
      </w:r>
      <w:r>
        <w:t xml:space="preserve"> Chronic hyperinsulinemia suppresses lipolysis and promotes fat storage.</w:t>
      </w:r>
    </w:p>
    <w:p w14:paraId="2BA849C5" w14:textId="77777777" w:rsidR="00340BC2" w:rsidRDefault="00000000">
      <w:pPr>
        <w:spacing w:before="200"/>
        <w:jc w:val="both"/>
      </w:pPr>
      <w:r>
        <w:rPr>
          <w:b/>
          <w:bCs/>
        </w:rPr>
        <w:t>Type:</w:t>
      </w:r>
      <w:r>
        <w:t xml:space="preserve"> Mechanistic</w:t>
      </w:r>
    </w:p>
    <w:p w14:paraId="7222E766" w14:textId="77777777" w:rsidR="00340BC2" w:rsidRDefault="00000000">
      <w:pPr>
        <w:spacing w:before="200"/>
        <w:jc w:val="both"/>
      </w:pPr>
      <w:r>
        <w:rPr>
          <w:b/>
          <w:bCs/>
        </w:rPr>
        <w:t>Evidence Strength:</w:t>
      </w:r>
      <w:r>
        <w:t xml:space="preserve"> High</w:t>
      </w:r>
    </w:p>
    <w:p w14:paraId="40143648" w14:textId="77777777" w:rsidR="00340BC2" w:rsidRDefault="00000000">
      <w:pPr>
        <w:spacing w:before="200"/>
        <w:jc w:val="both"/>
      </w:pPr>
      <w:r>
        <w:rPr>
          <w:b/>
          <w:bCs/>
        </w:rPr>
        <w:t>Evidence Base:</w:t>
      </w:r>
      <w:r>
        <w:t xml:space="preserve"> Human physiology and endocrinology</w:t>
      </w:r>
    </w:p>
    <w:p w14:paraId="62733628" w14:textId="77777777" w:rsidR="00340BC2" w:rsidRDefault="00000000">
      <w:pPr>
        <w:spacing w:before="200"/>
        <w:jc w:val="both"/>
      </w:pPr>
      <w:r>
        <w:rPr>
          <w:b/>
          <w:bCs/>
        </w:rPr>
        <w:t>Notes:</w:t>
      </w:r>
      <w:r>
        <w:t xml:space="preserve"> Foundational metabolic principle.</w:t>
      </w:r>
    </w:p>
    <w:p w14:paraId="78F179BD" w14:textId="77777777" w:rsidR="00340BC2" w:rsidRDefault="00000000">
      <w:pPr>
        <w:spacing w:before="200"/>
        <w:jc w:val="both"/>
      </w:pPr>
      <w:r>
        <w:rPr>
          <w:b/>
          <w:bCs/>
        </w:rPr>
        <w:t>Citation Mapping:</w:t>
      </w:r>
      <w:r>
        <w:t xml:space="preserve"> See Appendix F, Section(s) F.2</w:t>
      </w:r>
    </w:p>
    <w:p w14:paraId="62D8465D" w14:textId="77777777" w:rsidR="00340BC2" w:rsidRDefault="00000000">
      <w:pPr>
        <w:pStyle w:val="Heading1"/>
      </w:pPr>
      <w:r>
        <w:t>E-03</w:t>
      </w:r>
    </w:p>
    <w:p w14:paraId="1E103D9F" w14:textId="77777777" w:rsidR="00340BC2" w:rsidRDefault="00000000">
      <w:pPr>
        <w:jc w:val="both"/>
      </w:pPr>
      <w:r>
        <w:rPr>
          <w:b/>
          <w:bCs/>
        </w:rPr>
        <w:t>Claim:</w:t>
      </w:r>
      <w:r>
        <w:t xml:space="preserve"> Ketones function as both energy substrates and signaling molecules influencing inflammation and gene expression.</w:t>
      </w:r>
    </w:p>
    <w:p w14:paraId="7018BC73" w14:textId="77777777" w:rsidR="00340BC2" w:rsidRDefault="00000000">
      <w:pPr>
        <w:spacing w:before="200"/>
        <w:jc w:val="both"/>
      </w:pPr>
      <w:r>
        <w:rPr>
          <w:b/>
          <w:bCs/>
        </w:rPr>
        <w:t>Type:</w:t>
      </w:r>
      <w:r>
        <w:t xml:space="preserve"> Mechanistic</w:t>
      </w:r>
    </w:p>
    <w:p w14:paraId="000270C2" w14:textId="77777777" w:rsidR="00340BC2" w:rsidRDefault="00000000">
      <w:pPr>
        <w:spacing w:before="200"/>
        <w:jc w:val="both"/>
      </w:pPr>
      <w:r>
        <w:rPr>
          <w:b/>
          <w:bCs/>
        </w:rPr>
        <w:t>Evidence Strength:</w:t>
      </w:r>
      <w:r>
        <w:t xml:space="preserve"> High</w:t>
      </w:r>
    </w:p>
    <w:p w14:paraId="78AC6205" w14:textId="77777777" w:rsidR="00340BC2" w:rsidRDefault="00000000">
      <w:pPr>
        <w:spacing w:before="200"/>
        <w:jc w:val="both"/>
      </w:pPr>
      <w:r>
        <w:rPr>
          <w:b/>
          <w:bCs/>
        </w:rPr>
        <w:t>Evidence Base:</w:t>
      </w:r>
      <w:r>
        <w:t xml:space="preserve"> β-hydroxybutyrate signaling, HDAC inhibition, inflammasome modulation</w:t>
      </w:r>
    </w:p>
    <w:p w14:paraId="083945B8" w14:textId="77777777" w:rsidR="00340BC2" w:rsidRDefault="00000000">
      <w:pPr>
        <w:spacing w:before="200"/>
        <w:jc w:val="both"/>
      </w:pPr>
      <w:r>
        <w:rPr>
          <w:b/>
          <w:bCs/>
        </w:rPr>
        <w:t>Citation Mapping:</w:t>
      </w:r>
      <w:r>
        <w:t xml:space="preserve"> See Appendix F, Section(s) F.4</w:t>
      </w:r>
    </w:p>
    <w:p w14:paraId="18345453" w14:textId="77777777" w:rsidR="00340BC2" w:rsidRDefault="00000000">
      <w:pPr>
        <w:pStyle w:val="Heading1"/>
      </w:pPr>
      <w:r>
        <w:t>E-04</w:t>
      </w:r>
    </w:p>
    <w:p w14:paraId="2A93BBA3" w14:textId="77777777" w:rsidR="00340BC2" w:rsidRDefault="00000000">
      <w:pPr>
        <w:jc w:val="both"/>
      </w:pPr>
      <w:r>
        <w:rPr>
          <w:b/>
          <w:bCs/>
        </w:rPr>
        <w:t>Claim:</w:t>
      </w:r>
      <w:r>
        <w:t xml:space="preserve"> GLP-1 receptor agonists reduce appetite but do not inherently restore metabolic flexibility.</w:t>
      </w:r>
    </w:p>
    <w:p w14:paraId="00921AA2" w14:textId="77777777" w:rsidR="00340BC2" w:rsidRDefault="00000000">
      <w:pPr>
        <w:spacing w:before="200"/>
        <w:jc w:val="both"/>
      </w:pPr>
      <w:r>
        <w:rPr>
          <w:b/>
          <w:bCs/>
        </w:rPr>
        <w:t>Type:</w:t>
      </w:r>
      <w:r>
        <w:t xml:space="preserve"> Mechanistic / Clinical</w:t>
      </w:r>
    </w:p>
    <w:p w14:paraId="00147818" w14:textId="77777777" w:rsidR="00340BC2" w:rsidRDefault="00000000">
      <w:pPr>
        <w:spacing w:before="200"/>
        <w:jc w:val="both"/>
      </w:pPr>
      <w:r>
        <w:rPr>
          <w:b/>
          <w:bCs/>
        </w:rPr>
        <w:t>Evidence Strength:</w:t>
      </w:r>
      <w:r>
        <w:t xml:space="preserve"> Moderate</w:t>
      </w:r>
    </w:p>
    <w:p w14:paraId="2C4FEFE3" w14:textId="77777777" w:rsidR="00340BC2" w:rsidRDefault="00000000">
      <w:pPr>
        <w:spacing w:before="200"/>
        <w:jc w:val="both"/>
      </w:pPr>
      <w:r>
        <w:rPr>
          <w:b/>
          <w:bCs/>
        </w:rPr>
        <w:t>Evidence Base:</w:t>
      </w:r>
      <w:r>
        <w:t xml:space="preserve"> RCT outcomes vs metabolic function measures</w:t>
      </w:r>
    </w:p>
    <w:p w14:paraId="11B29B2A" w14:textId="77777777" w:rsidR="00340BC2" w:rsidRDefault="00000000">
      <w:pPr>
        <w:spacing w:before="200"/>
        <w:jc w:val="both"/>
      </w:pPr>
      <w:r>
        <w:rPr>
          <w:b/>
          <w:bCs/>
        </w:rPr>
        <w:t>Notes:</w:t>
      </w:r>
      <w:r>
        <w:t xml:space="preserve"> "Do not inherently" reflects mechanism, not clinical utility.</w:t>
      </w:r>
    </w:p>
    <w:p w14:paraId="0BF75066" w14:textId="77777777" w:rsidR="00340BC2" w:rsidRDefault="00000000">
      <w:pPr>
        <w:spacing w:before="200"/>
        <w:jc w:val="both"/>
      </w:pPr>
      <w:r>
        <w:rPr>
          <w:b/>
          <w:bCs/>
        </w:rPr>
        <w:t>Citation Mapping:</w:t>
      </w:r>
      <w:r>
        <w:t xml:space="preserve"> See Appendix F, Section(s) F.7</w:t>
      </w:r>
    </w:p>
    <w:p w14:paraId="29D40261" w14:textId="77777777" w:rsidR="00340BC2" w:rsidRDefault="00000000">
      <w:pPr>
        <w:pStyle w:val="Heading1"/>
      </w:pPr>
      <w:r>
        <w:lastRenderedPageBreak/>
        <w:t>E-05</w:t>
      </w:r>
    </w:p>
    <w:p w14:paraId="456C109A" w14:textId="77777777" w:rsidR="00340BC2" w:rsidRDefault="00000000">
      <w:pPr>
        <w:jc w:val="both"/>
      </w:pPr>
      <w:r>
        <w:rPr>
          <w:b/>
          <w:bCs/>
        </w:rPr>
        <w:t>Claim:</w:t>
      </w:r>
      <w:r>
        <w:t xml:space="preserve"> A meaningful portion of weight lost during GLP-1 therapy may include lean mass, with variability across individuals.</w:t>
      </w:r>
    </w:p>
    <w:p w14:paraId="5DC5BF78" w14:textId="77777777" w:rsidR="00340BC2" w:rsidRDefault="00000000">
      <w:pPr>
        <w:spacing w:before="200"/>
        <w:jc w:val="both"/>
      </w:pPr>
      <w:r>
        <w:rPr>
          <w:b/>
          <w:bCs/>
        </w:rPr>
        <w:t>Type:</w:t>
      </w:r>
      <w:r>
        <w:t xml:space="preserve"> Clinical-outcome</w:t>
      </w:r>
    </w:p>
    <w:p w14:paraId="064F46D3" w14:textId="77777777" w:rsidR="00340BC2" w:rsidRDefault="00000000">
      <w:pPr>
        <w:spacing w:before="200"/>
        <w:jc w:val="both"/>
      </w:pPr>
      <w:r>
        <w:rPr>
          <w:b/>
          <w:bCs/>
        </w:rPr>
        <w:t>Evidence Strength:</w:t>
      </w:r>
      <w:r>
        <w:t xml:space="preserve"> Moderate--High</w:t>
      </w:r>
    </w:p>
    <w:p w14:paraId="2A5CB32B" w14:textId="77777777" w:rsidR="00340BC2" w:rsidRDefault="00000000">
      <w:pPr>
        <w:spacing w:before="200"/>
        <w:jc w:val="both"/>
      </w:pPr>
      <w:r>
        <w:rPr>
          <w:b/>
          <w:bCs/>
        </w:rPr>
        <w:t>Evidence Base:</w:t>
      </w:r>
      <w:r>
        <w:t xml:space="preserve"> RCT body composition data, systematic reviews</w:t>
      </w:r>
    </w:p>
    <w:p w14:paraId="41523A09" w14:textId="77777777" w:rsidR="00340BC2" w:rsidRDefault="00000000">
      <w:pPr>
        <w:spacing w:before="200"/>
        <w:jc w:val="both"/>
      </w:pPr>
      <w:r>
        <w:rPr>
          <w:b/>
          <w:bCs/>
        </w:rPr>
        <w:t>Notes:</w:t>
      </w:r>
      <w:r>
        <w:t xml:space="preserve"> Magnitude influenced by duration, protein intake, age, and resistance training.</w:t>
      </w:r>
    </w:p>
    <w:p w14:paraId="0A8934B4" w14:textId="77777777" w:rsidR="00340BC2" w:rsidRDefault="00000000">
      <w:pPr>
        <w:spacing w:before="200"/>
        <w:jc w:val="both"/>
      </w:pPr>
      <w:r>
        <w:rPr>
          <w:b/>
          <w:bCs/>
        </w:rPr>
        <w:t>Citation Mapping:</w:t>
      </w:r>
      <w:r>
        <w:t xml:space="preserve"> See Appendix F, Section(s) F.6, F.7</w:t>
      </w:r>
    </w:p>
    <w:p w14:paraId="4CB7912A" w14:textId="77777777" w:rsidR="00340BC2" w:rsidRDefault="00000000">
      <w:pPr>
        <w:pStyle w:val="Heading1"/>
      </w:pPr>
      <w:r>
        <w:t>E-06</w:t>
      </w:r>
    </w:p>
    <w:p w14:paraId="3948E5CE" w14:textId="77777777" w:rsidR="00340BC2" w:rsidRDefault="00000000">
      <w:pPr>
        <w:jc w:val="both"/>
      </w:pPr>
      <w:r>
        <w:rPr>
          <w:b/>
          <w:bCs/>
        </w:rPr>
        <w:t>Claim:</w:t>
      </w:r>
      <w:r>
        <w:t xml:space="preserve"> Loss of lean mass negatively impacts long-term metabolic health.</w:t>
      </w:r>
    </w:p>
    <w:p w14:paraId="3CA4D8BE" w14:textId="77777777" w:rsidR="00340BC2" w:rsidRDefault="00000000">
      <w:pPr>
        <w:spacing w:before="200"/>
        <w:jc w:val="both"/>
      </w:pPr>
      <w:r>
        <w:rPr>
          <w:b/>
          <w:bCs/>
        </w:rPr>
        <w:t>Type:</w:t>
      </w:r>
      <w:r>
        <w:t xml:space="preserve"> Clinical-outcome</w:t>
      </w:r>
    </w:p>
    <w:p w14:paraId="1B1BC0C0" w14:textId="77777777" w:rsidR="00340BC2" w:rsidRDefault="00000000">
      <w:pPr>
        <w:spacing w:before="200"/>
        <w:jc w:val="both"/>
      </w:pPr>
      <w:r>
        <w:rPr>
          <w:b/>
          <w:bCs/>
        </w:rPr>
        <w:t>Evidence Strength:</w:t>
      </w:r>
      <w:r>
        <w:t xml:space="preserve"> High</w:t>
      </w:r>
    </w:p>
    <w:p w14:paraId="12BE436B" w14:textId="77777777" w:rsidR="00340BC2" w:rsidRDefault="00000000">
      <w:pPr>
        <w:spacing w:before="200"/>
        <w:jc w:val="both"/>
      </w:pPr>
      <w:r>
        <w:rPr>
          <w:b/>
          <w:bCs/>
        </w:rPr>
        <w:t>Evidence Base:</w:t>
      </w:r>
      <w:r>
        <w:t xml:space="preserve"> Muscle physiology, insulin sensitivity literature</w:t>
      </w:r>
    </w:p>
    <w:p w14:paraId="282D2628" w14:textId="77777777" w:rsidR="00340BC2" w:rsidRDefault="00000000">
      <w:pPr>
        <w:spacing w:before="200"/>
        <w:jc w:val="both"/>
      </w:pPr>
      <w:r>
        <w:rPr>
          <w:b/>
          <w:bCs/>
        </w:rPr>
        <w:t>Citation Mapping:</w:t>
      </w:r>
      <w:r>
        <w:t xml:space="preserve"> See Appendix F, Section(s) F.6</w:t>
      </w:r>
    </w:p>
    <w:p w14:paraId="671D8E8B" w14:textId="77777777" w:rsidR="00340BC2" w:rsidRDefault="00000000">
      <w:pPr>
        <w:pStyle w:val="Heading1"/>
      </w:pPr>
      <w:r>
        <w:t>E-07</w:t>
      </w:r>
    </w:p>
    <w:p w14:paraId="73F2454E" w14:textId="77777777" w:rsidR="00340BC2" w:rsidRDefault="00000000">
      <w:pPr>
        <w:jc w:val="both"/>
      </w:pPr>
      <w:r>
        <w:rPr>
          <w:b/>
          <w:bCs/>
        </w:rPr>
        <w:t>Claim:</w:t>
      </w:r>
      <w:r>
        <w:t xml:space="preserve"> Weight regain is commonly observed following discontinuation of GLP-1 therapy.</w:t>
      </w:r>
    </w:p>
    <w:p w14:paraId="3059C73C" w14:textId="77777777" w:rsidR="00340BC2" w:rsidRDefault="00000000">
      <w:pPr>
        <w:spacing w:before="200"/>
        <w:jc w:val="both"/>
      </w:pPr>
      <w:r>
        <w:rPr>
          <w:b/>
          <w:bCs/>
        </w:rPr>
        <w:t>Type:</w:t>
      </w:r>
      <w:r>
        <w:t xml:space="preserve"> Clinical-outcome</w:t>
      </w:r>
    </w:p>
    <w:p w14:paraId="7F3D130C" w14:textId="77777777" w:rsidR="00340BC2" w:rsidRDefault="00000000">
      <w:pPr>
        <w:spacing w:before="200"/>
        <w:jc w:val="both"/>
      </w:pPr>
      <w:r>
        <w:rPr>
          <w:b/>
          <w:bCs/>
        </w:rPr>
        <w:t>Evidence Strength:</w:t>
      </w:r>
      <w:r>
        <w:t xml:space="preserve"> High</w:t>
      </w:r>
    </w:p>
    <w:p w14:paraId="6510B3C9" w14:textId="77777777" w:rsidR="00340BC2" w:rsidRDefault="00000000">
      <w:pPr>
        <w:spacing w:before="200"/>
        <w:jc w:val="both"/>
      </w:pPr>
      <w:r>
        <w:rPr>
          <w:b/>
          <w:bCs/>
        </w:rPr>
        <w:t>Evidence Base:</w:t>
      </w:r>
      <w:r>
        <w:t xml:space="preserve"> RCT extension and withdrawal studies</w:t>
      </w:r>
    </w:p>
    <w:p w14:paraId="4CCE0C99" w14:textId="77777777" w:rsidR="00340BC2" w:rsidRDefault="00000000">
      <w:pPr>
        <w:spacing w:before="200"/>
        <w:jc w:val="both"/>
      </w:pPr>
      <w:r>
        <w:rPr>
          <w:b/>
          <w:bCs/>
        </w:rPr>
        <w:t>Notes:</w:t>
      </w:r>
      <w:r>
        <w:t xml:space="preserve"> Regain is common, not inevitable.</w:t>
      </w:r>
    </w:p>
    <w:p w14:paraId="17C6169C" w14:textId="77777777" w:rsidR="00340BC2" w:rsidRDefault="00000000">
      <w:pPr>
        <w:spacing w:before="200"/>
        <w:jc w:val="both"/>
      </w:pPr>
      <w:r>
        <w:rPr>
          <w:b/>
          <w:bCs/>
        </w:rPr>
        <w:t>Citation Mapping:</w:t>
      </w:r>
      <w:r>
        <w:t xml:space="preserve"> See Appendix F, Section(s) F.7</w:t>
      </w:r>
    </w:p>
    <w:p w14:paraId="255E2E06" w14:textId="77777777" w:rsidR="00340BC2" w:rsidRDefault="00000000">
      <w:pPr>
        <w:pStyle w:val="Heading1"/>
      </w:pPr>
      <w:r>
        <w:lastRenderedPageBreak/>
        <w:t>E-08</w:t>
      </w:r>
    </w:p>
    <w:p w14:paraId="29185D5E" w14:textId="77777777" w:rsidR="00340BC2" w:rsidRDefault="00000000">
      <w:pPr>
        <w:jc w:val="both"/>
      </w:pPr>
      <w:r>
        <w:rPr>
          <w:b/>
          <w:bCs/>
        </w:rPr>
        <w:t>Claim:</w:t>
      </w:r>
      <w:r>
        <w:t xml:space="preserve"> Prolonged calorie restriction often leads to adaptive reductions in resting energy expenditure.</w:t>
      </w:r>
    </w:p>
    <w:p w14:paraId="26C2BA0A" w14:textId="77777777" w:rsidR="00340BC2" w:rsidRDefault="00000000">
      <w:pPr>
        <w:spacing w:before="200"/>
        <w:jc w:val="both"/>
      </w:pPr>
      <w:r>
        <w:rPr>
          <w:b/>
          <w:bCs/>
        </w:rPr>
        <w:t>Type:</w:t>
      </w:r>
      <w:r>
        <w:t xml:space="preserve"> Clinical-outcome</w:t>
      </w:r>
    </w:p>
    <w:p w14:paraId="1767D1C6" w14:textId="77777777" w:rsidR="00340BC2" w:rsidRDefault="00000000">
      <w:pPr>
        <w:spacing w:before="200"/>
        <w:jc w:val="both"/>
      </w:pPr>
      <w:r>
        <w:rPr>
          <w:b/>
          <w:bCs/>
        </w:rPr>
        <w:t>Evidence Strength:</w:t>
      </w:r>
      <w:r>
        <w:t xml:space="preserve"> High</w:t>
      </w:r>
    </w:p>
    <w:p w14:paraId="04E75EFE" w14:textId="77777777" w:rsidR="00340BC2" w:rsidRDefault="00000000">
      <w:pPr>
        <w:spacing w:before="200"/>
        <w:jc w:val="both"/>
      </w:pPr>
      <w:r>
        <w:rPr>
          <w:b/>
          <w:bCs/>
        </w:rPr>
        <w:t>Evidence Base:</w:t>
      </w:r>
      <w:r>
        <w:t xml:space="preserve"> Metabolic ward studies and long-term follow-up cohorts</w:t>
      </w:r>
    </w:p>
    <w:p w14:paraId="3B33E362" w14:textId="77777777" w:rsidR="00340BC2" w:rsidRDefault="00000000">
      <w:pPr>
        <w:spacing w:before="200"/>
        <w:jc w:val="both"/>
      </w:pPr>
      <w:r>
        <w:rPr>
          <w:b/>
          <w:bCs/>
        </w:rPr>
        <w:t>Citation Mapping:</w:t>
      </w:r>
      <w:r>
        <w:t xml:space="preserve"> See Appendix F, Section(s) F.3</w:t>
      </w:r>
    </w:p>
    <w:p w14:paraId="50A6E76A" w14:textId="77777777" w:rsidR="00340BC2" w:rsidRDefault="00000000">
      <w:pPr>
        <w:pStyle w:val="Heading1"/>
      </w:pPr>
      <w:r>
        <w:t>E-09</w:t>
      </w:r>
    </w:p>
    <w:p w14:paraId="2E08ABEB" w14:textId="77777777" w:rsidR="00340BC2" w:rsidRDefault="00000000">
      <w:pPr>
        <w:jc w:val="both"/>
      </w:pPr>
      <w:r>
        <w:rPr>
          <w:b/>
          <w:bCs/>
        </w:rPr>
        <w:t>Claim:</w:t>
      </w:r>
      <w:r>
        <w:t xml:space="preserve"> Nutritional ketosis often improves glycemic control and variability in individuals with insulin resistance or type 2 diabetes.</w:t>
      </w:r>
    </w:p>
    <w:p w14:paraId="1DB82B1E" w14:textId="77777777" w:rsidR="00340BC2" w:rsidRDefault="00000000">
      <w:pPr>
        <w:spacing w:before="200"/>
        <w:jc w:val="both"/>
      </w:pPr>
      <w:r>
        <w:rPr>
          <w:b/>
          <w:bCs/>
        </w:rPr>
        <w:t>Type:</w:t>
      </w:r>
      <w:r>
        <w:t xml:space="preserve"> Clinical-outcome</w:t>
      </w:r>
    </w:p>
    <w:p w14:paraId="3D5AE215" w14:textId="77777777" w:rsidR="00340BC2" w:rsidRDefault="00000000">
      <w:pPr>
        <w:spacing w:before="200"/>
        <w:jc w:val="both"/>
      </w:pPr>
      <w:r>
        <w:rPr>
          <w:b/>
          <w:bCs/>
        </w:rPr>
        <w:t>Evidence Strength:</w:t>
      </w:r>
      <w:r>
        <w:t xml:space="preserve"> High</w:t>
      </w:r>
    </w:p>
    <w:p w14:paraId="62A024B5" w14:textId="77777777" w:rsidR="00340BC2" w:rsidRDefault="00000000">
      <w:pPr>
        <w:spacing w:before="200"/>
        <w:jc w:val="both"/>
      </w:pPr>
      <w:r>
        <w:rPr>
          <w:b/>
          <w:bCs/>
        </w:rPr>
        <w:t>Evidence Base:</w:t>
      </w:r>
      <w:r>
        <w:t xml:space="preserve"> RCTs, CGM-based studies, long-term cohorts</w:t>
      </w:r>
    </w:p>
    <w:p w14:paraId="34AD0EDE" w14:textId="77777777" w:rsidR="00340BC2" w:rsidRDefault="00000000">
      <w:pPr>
        <w:spacing w:before="200"/>
        <w:jc w:val="both"/>
      </w:pPr>
      <w:r>
        <w:rPr>
          <w:b/>
          <w:bCs/>
        </w:rPr>
        <w:t>Citation Mapping:</w:t>
      </w:r>
      <w:r>
        <w:t xml:space="preserve"> See Appendix F, Section(s) F.5, F.8</w:t>
      </w:r>
    </w:p>
    <w:p w14:paraId="6E202FB1" w14:textId="77777777" w:rsidR="00340BC2" w:rsidRDefault="00000000">
      <w:pPr>
        <w:pStyle w:val="Heading1"/>
      </w:pPr>
      <w:r>
        <w:t>E-10</w:t>
      </w:r>
    </w:p>
    <w:p w14:paraId="63D2795B" w14:textId="77777777" w:rsidR="00340BC2" w:rsidRDefault="00000000">
      <w:pPr>
        <w:jc w:val="both"/>
      </w:pPr>
      <w:r>
        <w:rPr>
          <w:b/>
          <w:bCs/>
        </w:rPr>
        <w:t>Claim:</w:t>
      </w:r>
      <w:r>
        <w:t xml:space="preserve"> Type 2 diabetes remission is achievable for a subset of patients through carbohydrate restriction and metabolic intervention.</w:t>
      </w:r>
    </w:p>
    <w:p w14:paraId="1C869305" w14:textId="77777777" w:rsidR="00340BC2" w:rsidRDefault="00000000">
      <w:pPr>
        <w:spacing w:before="200"/>
        <w:jc w:val="both"/>
      </w:pPr>
      <w:r>
        <w:rPr>
          <w:b/>
          <w:bCs/>
        </w:rPr>
        <w:t>Type:</w:t>
      </w:r>
      <w:r>
        <w:t xml:space="preserve"> Clinical-outcome</w:t>
      </w:r>
    </w:p>
    <w:p w14:paraId="71C2DD10" w14:textId="77777777" w:rsidR="00340BC2" w:rsidRDefault="00000000">
      <w:pPr>
        <w:spacing w:before="200"/>
        <w:jc w:val="both"/>
      </w:pPr>
      <w:r>
        <w:rPr>
          <w:b/>
          <w:bCs/>
        </w:rPr>
        <w:t>Evidence Strength:</w:t>
      </w:r>
      <w:r>
        <w:t xml:space="preserve"> High</w:t>
      </w:r>
    </w:p>
    <w:p w14:paraId="5BA79C22" w14:textId="77777777" w:rsidR="00340BC2" w:rsidRDefault="00000000">
      <w:pPr>
        <w:spacing w:before="200"/>
        <w:jc w:val="both"/>
      </w:pPr>
      <w:r>
        <w:rPr>
          <w:b/>
          <w:bCs/>
        </w:rPr>
        <w:t>Evidence Base:</w:t>
      </w:r>
      <w:r>
        <w:t xml:space="preserve"> Structured intervention trials and cohorts</w:t>
      </w:r>
    </w:p>
    <w:p w14:paraId="481D9ECA" w14:textId="77777777" w:rsidR="00340BC2" w:rsidRDefault="00000000">
      <w:pPr>
        <w:spacing w:before="200"/>
        <w:jc w:val="both"/>
      </w:pPr>
      <w:r>
        <w:rPr>
          <w:b/>
          <w:bCs/>
        </w:rPr>
        <w:t>Notes:</w:t>
      </w:r>
      <w:r>
        <w:t xml:space="preserve"> "Remission" is used intentionally and does not imply cure.</w:t>
      </w:r>
    </w:p>
    <w:p w14:paraId="33618E70" w14:textId="77777777" w:rsidR="00340BC2" w:rsidRDefault="00000000">
      <w:pPr>
        <w:spacing w:before="200"/>
        <w:jc w:val="both"/>
      </w:pPr>
      <w:r>
        <w:rPr>
          <w:b/>
          <w:bCs/>
        </w:rPr>
        <w:t>Citation Mapping:</w:t>
      </w:r>
      <w:r>
        <w:t xml:space="preserve"> See Appendix F, Section(s) F.5</w:t>
      </w:r>
    </w:p>
    <w:p w14:paraId="40A23D79" w14:textId="77777777" w:rsidR="00340BC2" w:rsidRDefault="00000000">
      <w:pPr>
        <w:pStyle w:val="Heading1"/>
      </w:pPr>
      <w:r>
        <w:lastRenderedPageBreak/>
        <w:t>E-11</w:t>
      </w:r>
    </w:p>
    <w:p w14:paraId="2B1D1C2E" w14:textId="77777777" w:rsidR="00340BC2" w:rsidRDefault="00000000">
      <w:pPr>
        <w:jc w:val="both"/>
      </w:pPr>
      <w:r>
        <w:rPr>
          <w:b/>
          <w:bCs/>
        </w:rPr>
        <w:t>Claim:</w:t>
      </w:r>
      <w:r>
        <w:t xml:space="preserve"> Earlier metabolic intervention is associated with a higher likelihood of remission.</w:t>
      </w:r>
    </w:p>
    <w:p w14:paraId="16CEE6A8" w14:textId="77777777" w:rsidR="00340BC2" w:rsidRDefault="00000000">
      <w:pPr>
        <w:spacing w:before="200"/>
        <w:jc w:val="both"/>
      </w:pPr>
      <w:r>
        <w:rPr>
          <w:b/>
          <w:bCs/>
        </w:rPr>
        <w:t>Type:</w:t>
      </w:r>
      <w:r>
        <w:t xml:space="preserve"> Clinical-outcome</w:t>
      </w:r>
    </w:p>
    <w:p w14:paraId="1A737B9F" w14:textId="77777777" w:rsidR="00340BC2" w:rsidRDefault="00000000">
      <w:pPr>
        <w:spacing w:before="200"/>
        <w:jc w:val="both"/>
      </w:pPr>
      <w:r>
        <w:rPr>
          <w:b/>
          <w:bCs/>
        </w:rPr>
        <w:t>Evidence Strength:</w:t>
      </w:r>
      <w:r>
        <w:t xml:space="preserve"> Moderate--High</w:t>
      </w:r>
    </w:p>
    <w:p w14:paraId="5B5A4C44" w14:textId="77777777" w:rsidR="00340BC2" w:rsidRDefault="00000000">
      <w:pPr>
        <w:spacing w:before="200"/>
        <w:jc w:val="both"/>
      </w:pPr>
      <w:r>
        <w:rPr>
          <w:b/>
          <w:bCs/>
        </w:rPr>
        <w:t>Evidence Base:</w:t>
      </w:r>
      <w:r>
        <w:t xml:space="preserve"> Disease duration analyses and longitudinal studies</w:t>
      </w:r>
    </w:p>
    <w:p w14:paraId="322CADD0" w14:textId="77777777" w:rsidR="00340BC2" w:rsidRDefault="00000000">
      <w:pPr>
        <w:spacing w:before="200"/>
        <w:jc w:val="both"/>
      </w:pPr>
      <w:r>
        <w:rPr>
          <w:b/>
          <w:bCs/>
        </w:rPr>
        <w:t>Citation Mapping:</w:t>
      </w:r>
      <w:r>
        <w:t xml:space="preserve"> See Appendix F, Section(s) F.5</w:t>
      </w:r>
    </w:p>
    <w:p w14:paraId="7714C79F" w14:textId="77777777" w:rsidR="00340BC2" w:rsidRDefault="00000000">
      <w:pPr>
        <w:pStyle w:val="Heading1"/>
      </w:pPr>
      <w:r>
        <w:t>E-12</w:t>
      </w:r>
    </w:p>
    <w:p w14:paraId="733B0E67" w14:textId="77777777" w:rsidR="00340BC2" w:rsidRDefault="00000000">
      <w:pPr>
        <w:jc w:val="both"/>
      </w:pPr>
      <w:r>
        <w:rPr>
          <w:b/>
          <w:bCs/>
        </w:rPr>
        <w:t>Claim:</w:t>
      </w:r>
      <w:r>
        <w:t xml:space="preserve"> Individual metabolic responses to diet vary significantly.</w:t>
      </w:r>
    </w:p>
    <w:p w14:paraId="3BA477FC" w14:textId="77777777" w:rsidR="00340BC2" w:rsidRDefault="00000000">
      <w:pPr>
        <w:spacing w:before="200"/>
        <w:jc w:val="both"/>
      </w:pPr>
      <w:r>
        <w:rPr>
          <w:b/>
          <w:bCs/>
        </w:rPr>
        <w:t>Type:</w:t>
      </w:r>
      <w:r>
        <w:t xml:space="preserve"> Clinical-outcome</w:t>
      </w:r>
    </w:p>
    <w:p w14:paraId="2F9BCE0C" w14:textId="77777777" w:rsidR="00340BC2" w:rsidRDefault="00000000">
      <w:pPr>
        <w:spacing w:before="200"/>
        <w:jc w:val="both"/>
      </w:pPr>
      <w:r>
        <w:rPr>
          <w:b/>
          <w:bCs/>
        </w:rPr>
        <w:t>Evidence Strength:</w:t>
      </w:r>
      <w:r>
        <w:t xml:space="preserve"> High</w:t>
      </w:r>
    </w:p>
    <w:p w14:paraId="073C717D" w14:textId="77777777" w:rsidR="00340BC2" w:rsidRDefault="00000000">
      <w:pPr>
        <w:spacing w:before="200"/>
        <w:jc w:val="both"/>
      </w:pPr>
      <w:r>
        <w:rPr>
          <w:b/>
          <w:bCs/>
        </w:rPr>
        <w:t>Evidence Base:</w:t>
      </w:r>
      <w:r>
        <w:t xml:space="preserve"> CGM variability and precision nutrition research</w:t>
      </w:r>
    </w:p>
    <w:p w14:paraId="34DA74B2" w14:textId="77777777" w:rsidR="00340BC2" w:rsidRDefault="00000000">
      <w:pPr>
        <w:spacing w:before="200"/>
        <w:jc w:val="both"/>
      </w:pPr>
      <w:r>
        <w:rPr>
          <w:b/>
          <w:bCs/>
        </w:rPr>
        <w:t>Citation Mapping:</w:t>
      </w:r>
      <w:r>
        <w:t xml:space="preserve"> See Appendix F, Section(s) F.8</w:t>
      </w:r>
    </w:p>
    <w:p w14:paraId="3BBB918D" w14:textId="77777777" w:rsidR="00340BC2" w:rsidRDefault="00000000">
      <w:pPr>
        <w:pStyle w:val="Heading1"/>
      </w:pPr>
      <w:r>
        <w:t>E-13</w:t>
      </w:r>
    </w:p>
    <w:p w14:paraId="25CBB39A" w14:textId="77777777" w:rsidR="00340BC2" w:rsidRDefault="00000000">
      <w:pPr>
        <w:jc w:val="both"/>
      </w:pPr>
      <w:r>
        <w:rPr>
          <w:b/>
          <w:bCs/>
        </w:rPr>
        <w:t>Claim:</w:t>
      </w:r>
      <w:r>
        <w:t xml:space="preserve"> "Calories in, calories out" is an incomplete clinical model for obesity and metabolic disease.</w:t>
      </w:r>
    </w:p>
    <w:p w14:paraId="12B5EB92" w14:textId="77777777" w:rsidR="00340BC2" w:rsidRDefault="00000000">
      <w:pPr>
        <w:spacing w:before="200"/>
        <w:jc w:val="both"/>
      </w:pPr>
      <w:r>
        <w:rPr>
          <w:b/>
          <w:bCs/>
        </w:rPr>
        <w:t>Type:</w:t>
      </w:r>
      <w:r>
        <w:t xml:space="preserve"> Mechanistic</w:t>
      </w:r>
    </w:p>
    <w:p w14:paraId="681B0499" w14:textId="77777777" w:rsidR="00340BC2" w:rsidRDefault="00000000">
      <w:pPr>
        <w:spacing w:before="200"/>
        <w:jc w:val="both"/>
      </w:pPr>
      <w:r>
        <w:rPr>
          <w:b/>
          <w:bCs/>
        </w:rPr>
        <w:t>Evidence Strength:</w:t>
      </w:r>
      <w:r>
        <w:t xml:space="preserve"> High</w:t>
      </w:r>
    </w:p>
    <w:p w14:paraId="6F8C4323" w14:textId="77777777" w:rsidR="00340BC2" w:rsidRDefault="00000000">
      <w:pPr>
        <w:spacing w:before="200"/>
        <w:jc w:val="both"/>
      </w:pPr>
      <w:r>
        <w:rPr>
          <w:b/>
          <w:bCs/>
        </w:rPr>
        <w:t>Evidence Base:</w:t>
      </w:r>
      <w:r>
        <w:t xml:space="preserve"> Hormonal regulation and adaptive physiology</w:t>
      </w:r>
    </w:p>
    <w:p w14:paraId="72F88295" w14:textId="77777777" w:rsidR="00340BC2" w:rsidRDefault="00000000">
      <w:pPr>
        <w:spacing w:before="200"/>
        <w:jc w:val="both"/>
      </w:pPr>
      <w:r>
        <w:rPr>
          <w:b/>
          <w:bCs/>
        </w:rPr>
        <w:t>Citation Mapping:</w:t>
      </w:r>
      <w:r>
        <w:t xml:space="preserve"> See Appendix F, Section(s) F.2</w:t>
      </w:r>
    </w:p>
    <w:p w14:paraId="42B68B7C" w14:textId="77777777" w:rsidR="00340BC2" w:rsidRDefault="00000000">
      <w:pPr>
        <w:pStyle w:val="Heading1"/>
      </w:pPr>
      <w:r>
        <w:t>E-14</w:t>
      </w:r>
    </w:p>
    <w:p w14:paraId="7011E98A" w14:textId="77777777" w:rsidR="00340BC2" w:rsidRDefault="00000000">
      <w:pPr>
        <w:jc w:val="both"/>
      </w:pPr>
      <w:r>
        <w:rPr>
          <w:b/>
          <w:bCs/>
        </w:rPr>
        <w:t>Claim:</w:t>
      </w:r>
      <w:r>
        <w:t xml:space="preserve"> Preservation of lean mass is critical during weight loss interventions.</w:t>
      </w:r>
    </w:p>
    <w:p w14:paraId="7A3936A2" w14:textId="77777777" w:rsidR="00340BC2" w:rsidRDefault="00000000">
      <w:pPr>
        <w:spacing w:before="200"/>
        <w:jc w:val="both"/>
      </w:pPr>
      <w:r>
        <w:rPr>
          <w:b/>
          <w:bCs/>
        </w:rPr>
        <w:lastRenderedPageBreak/>
        <w:t>Type:</w:t>
      </w:r>
      <w:r>
        <w:t xml:space="preserve"> Clinical-outcome</w:t>
      </w:r>
    </w:p>
    <w:p w14:paraId="7FF1ED71" w14:textId="77777777" w:rsidR="00340BC2" w:rsidRDefault="00000000">
      <w:pPr>
        <w:spacing w:before="200"/>
        <w:jc w:val="both"/>
      </w:pPr>
      <w:r>
        <w:rPr>
          <w:b/>
          <w:bCs/>
        </w:rPr>
        <w:t>Evidence Strength:</w:t>
      </w:r>
      <w:r>
        <w:t xml:space="preserve"> High</w:t>
      </w:r>
    </w:p>
    <w:p w14:paraId="7F2F0D58" w14:textId="77777777" w:rsidR="00340BC2" w:rsidRDefault="00000000">
      <w:pPr>
        <w:spacing w:before="200"/>
        <w:jc w:val="both"/>
      </w:pPr>
      <w:r>
        <w:rPr>
          <w:b/>
          <w:bCs/>
        </w:rPr>
        <w:t>Evidence Base:</w:t>
      </w:r>
      <w:r>
        <w:t xml:space="preserve"> Exercise physiology and aging literature</w:t>
      </w:r>
    </w:p>
    <w:p w14:paraId="4B1FEE91" w14:textId="77777777" w:rsidR="00340BC2" w:rsidRDefault="00000000">
      <w:pPr>
        <w:spacing w:before="200"/>
        <w:jc w:val="both"/>
      </w:pPr>
      <w:r>
        <w:rPr>
          <w:b/>
          <w:bCs/>
        </w:rPr>
        <w:t>Citation Mapping:</w:t>
      </w:r>
      <w:r>
        <w:t xml:space="preserve"> See Appendix F, Section(s) F.6</w:t>
      </w:r>
    </w:p>
    <w:p w14:paraId="2310056C" w14:textId="77777777" w:rsidR="00340BC2" w:rsidRDefault="00000000">
      <w:pPr>
        <w:pStyle w:val="Heading1"/>
      </w:pPr>
      <w:r>
        <w:t>E-15</w:t>
      </w:r>
    </w:p>
    <w:p w14:paraId="38ACC46B" w14:textId="77777777" w:rsidR="00340BC2" w:rsidRDefault="00000000">
      <w:pPr>
        <w:jc w:val="both"/>
      </w:pPr>
      <w:r>
        <w:rPr>
          <w:b/>
          <w:bCs/>
        </w:rPr>
        <w:t>Claim:</w:t>
      </w:r>
      <w:r>
        <w:t xml:space="preserve"> Current healthcare systems are often structurally incentivized to manage chronic disease rather than reverse it.</w:t>
      </w:r>
    </w:p>
    <w:p w14:paraId="56F821F3" w14:textId="77777777" w:rsidR="00340BC2" w:rsidRDefault="00000000">
      <w:pPr>
        <w:spacing w:before="200"/>
        <w:jc w:val="both"/>
      </w:pPr>
      <w:r>
        <w:rPr>
          <w:b/>
          <w:bCs/>
        </w:rPr>
        <w:t>Type:</w:t>
      </w:r>
      <w:r>
        <w:t xml:space="preserve"> Systems-incentive</w:t>
      </w:r>
    </w:p>
    <w:p w14:paraId="083B4265" w14:textId="77777777" w:rsidR="00340BC2" w:rsidRDefault="00000000">
      <w:pPr>
        <w:spacing w:before="200"/>
        <w:jc w:val="both"/>
      </w:pPr>
      <w:r>
        <w:rPr>
          <w:b/>
          <w:bCs/>
        </w:rPr>
        <w:t>Evidence Strength:</w:t>
      </w:r>
      <w:r>
        <w:t xml:space="preserve"> Moderate</w:t>
      </w:r>
    </w:p>
    <w:p w14:paraId="646ECB5F" w14:textId="77777777" w:rsidR="00340BC2" w:rsidRDefault="00000000">
      <w:pPr>
        <w:spacing w:before="200"/>
        <w:jc w:val="both"/>
      </w:pPr>
      <w:r>
        <w:rPr>
          <w:b/>
          <w:bCs/>
        </w:rPr>
        <w:t>Evidence Base:</w:t>
      </w:r>
      <w:r>
        <w:t xml:space="preserve"> Reimbursement models, coverage analyses, care delivery studies</w:t>
      </w:r>
    </w:p>
    <w:p w14:paraId="097CDB93" w14:textId="77777777" w:rsidR="00340BC2" w:rsidRDefault="00000000">
      <w:pPr>
        <w:spacing w:before="200"/>
        <w:jc w:val="both"/>
      </w:pPr>
      <w:r>
        <w:rPr>
          <w:b/>
          <w:bCs/>
        </w:rPr>
        <w:t>Notes:</w:t>
      </w:r>
      <w:r>
        <w:t xml:space="preserve"> Structural critique, not attribution of intent.</w:t>
      </w:r>
    </w:p>
    <w:p w14:paraId="160044A3" w14:textId="77777777" w:rsidR="00340BC2" w:rsidRDefault="00000000">
      <w:pPr>
        <w:spacing w:before="200"/>
        <w:jc w:val="both"/>
      </w:pPr>
      <w:r>
        <w:rPr>
          <w:b/>
          <w:bCs/>
        </w:rPr>
        <w:t>Citation Mapping:</w:t>
      </w:r>
      <w:r>
        <w:t xml:space="preserve"> See Appendix F, Section(s) F.12</w:t>
      </w:r>
    </w:p>
    <w:p w14:paraId="2355D777" w14:textId="77777777" w:rsidR="00340BC2" w:rsidRDefault="00000000">
      <w:pPr>
        <w:pStyle w:val="Heading1"/>
      </w:pPr>
      <w:r>
        <w:t>E-16</w:t>
      </w:r>
    </w:p>
    <w:p w14:paraId="2F37B730" w14:textId="77777777" w:rsidR="00340BC2" w:rsidRDefault="00000000">
      <w:pPr>
        <w:jc w:val="both"/>
      </w:pPr>
      <w:r>
        <w:rPr>
          <w:b/>
          <w:bCs/>
        </w:rPr>
        <w:t>Claim:</w:t>
      </w:r>
      <w:r>
        <w:t xml:space="preserve"> Time constraints in clinical practice limit deep metabolic counseling.</w:t>
      </w:r>
    </w:p>
    <w:p w14:paraId="077B86CE" w14:textId="77777777" w:rsidR="00340BC2" w:rsidRDefault="00000000">
      <w:pPr>
        <w:spacing w:before="200"/>
        <w:jc w:val="both"/>
      </w:pPr>
      <w:r>
        <w:rPr>
          <w:b/>
          <w:bCs/>
        </w:rPr>
        <w:t>Type:</w:t>
      </w:r>
      <w:r>
        <w:t xml:space="preserve"> Systems-incentive</w:t>
      </w:r>
    </w:p>
    <w:p w14:paraId="28EF4290" w14:textId="77777777" w:rsidR="00340BC2" w:rsidRDefault="00000000">
      <w:pPr>
        <w:spacing w:before="200"/>
        <w:jc w:val="both"/>
      </w:pPr>
      <w:r>
        <w:rPr>
          <w:b/>
          <w:bCs/>
        </w:rPr>
        <w:t>Evidence Strength:</w:t>
      </w:r>
      <w:r>
        <w:t xml:space="preserve"> High</w:t>
      </w:r>
    </w:p>
    <w:p w14:paraId="7DD94ADA" w14:textId="77777777" w:rsidR="00340BC2" w:rsidRDefault="00000000">
      <w:pPr>
        <w:spacing w:before="200"/>
        <w:jc w:val="both"/>
      </w:pPr>
      <w:r>
        <w:rPr>
          <w:b/>
          <w:bCs/>
        </w:rPr>
        <w:t>Evidence Base:</w:t>
      </w:r>
      <w:r>
        <w:t xml:space="preserve"> Primary care workflow studies</w:t>
      </w:r>
    </w:p>
    <w:p w14:paraId="14198469" w14:textId="77777777" w:rsidR="00340BC2" w:rsidRDefault="00000000">
      <w:pPr>
        <w:spacing w:before="200"/>
        <w:jc w:val="both"/>
      </w:pPr>
      <w:r>
        <w:rPr>
          <w:b/>
          <w:bCs/>
        </w:rPr>
        <w:t>Citation Mapping:</w:t>
      </w:r>
      <w:r>
        <w:t xml:space="preserve"> See Appendix F, Section(s) F.12</w:t>
      </w:r>
    </w:p>
    <w:p w14:paraId="31F96352" w14:textId="77777777" w:rsidR="00340BC2" w:rsidRDefault="00000000">
      <w:pPr>
        <w:pStyle w:val="Heading1"/>
      </w:pPr>
      <w:r>
        <w:t>E-17</w:t>
      </w:r>
    </w:p>
    <w:p w14:paraId="47641CF3" w14:textId="77777777" w:rsidR="00340BC2" w:rsidRDefault="00000000">
      <w:pPr>
        <w:jc w:val="both"/>
      </w:pPr>
      <w:r>
        <w:rPr>
          <w:b/>
          <w:bCs/>
        </w:rPr>
        <w:t>Claim:</w:t>
      </w:r>
      <w:r>
        <w:t xml:space="preserve"> Clinical guidelines often lag behind emerging metabolic evidence due to consensus and revision processes.</w:t>
      </w:r>
    </w:p>
    <w:p w14:paraId="66B78026" w14:textId="77777777" w:rsidR="00340BC2" w:rsidRDefault="00000000">
      <w:pPr>
        <w:spacing w:before="200"/>
        <w:jc w:val="both"/>
      </w:pPr>
      <w:r>
        <w:rPr>
          <w:b/>
          <w:bCs/>
        </w:rPr>
        <w:t>Type:</w:t>
      </w:r>
      <w:r>
        <w:t xml:space="preserve"> Systems</w:t>
      </w:r>
    </w:p>
    <w:p w14:paraId="28BC24E5" w14:textId="77777777" w:rsidR="00340BC2" w:rsidRDefault="00000000">
      <w:pPr>
        <w:spacing w:before="200"/>
        <w:jc w:val="both"/>
      </w:pPr>
      <w:r>
        <w:rPr>
          <w:b/>
          <w:bCs/>
        </w:rPr>
        <w:lastRenderedPageBreak/>
        <w:t>Evidence Strength:</w:t>
      </w:r>
      <w:r>
        <w:t xml:space="preserve"> Moderate</w:t>
      </w:r>
    </w:p>
    <w:p w14:paraId="54E03F08" w14:textId="77777777" w:rsidR="00340BC2" w:rsidRDefault="00000000">
      <w:pPr>
        <w:spacing w:before="200"/>
        <w:jc w:val="both"/>
      </w:pPr>
      <w:r>
        <w:rPr>
          <w:b/>
          <w:bCs/>
        </w:rPr>
        <w:t>Evidence Base:</w:t>
      </w:r>
      <w:r>
        <w:t xml:space="preserve"> Guideline development literature</w:t>
      </w:r>
    </w:p>
    <w:p w14:paraId="39DEE794" w14:textId="77777777" w:rsidR="00340BC2" w:rsidRDefault="00000000">
      <w:pPr>
        <w:spacing w:before="200"/>
        <w:jc w:val="both"/>
      </w:pPr>
      <w:r>
        <w:rPr>
          <w:b/>
          <w:bCs/>
        </w:rPr>
        <w:t>Citation Mapping:</w:t>
      </w:r>
      <w:r>
        <w:t xml:space="preserve"> See Appendix F, Section(s) F.12</w:t>
      </w:r>
    </w:p>
    <w:p w14:paraId="3766F228" w14:textId="77777777" w:rsidR="00340BC2" w:rsidRDefault="00000000">
      <w:pPr>
        <w:pStyle w:val="Heading1"/>
      </w:pPr>
      <w:r>
        <w:t>E-18</w:t>
      </w:r>
    </w:p>
    <w:p w14:paraId="0364B6C3" w14:textId="77777777" w:rsidR="00340BC2" w:rsidRDefault="00000000">
      <w:pPr>
        <w:jc w:val="both"/>
      </w:pPr>
      <w:r>
        <w:rPr>
          <w:b/>
          <w:bCs/>
        </w:rPr>
        <w:t>Claim:</w:t>
      </w:r>
      <w:r>
        <w:t xml:space="preserve"> Fuel-first approaches address root metabolic dysfunction, while tools function most effectively as adjuncts.</w:t>
      </w:r>
    </w:p>
    <w:p w14:paraId="49C3FC3B" w14:textId="77777777" w:rsidR="00340BC2" w:rsidRDefault="00000000">
      <w:pPr>
        <w:spacing w:before="200"/>
        <w:jc w:val="both"/>
      </w:pPr>
      <w:r>
        <w:rPr>
          <w:b/>
          <w:bCs/>
        </w:rPr>
        <w:t>Type:</w:t>
      </w:r>
      <w:r>
        <w:t xml:space="preserve"> Integrative</w:t>
      </w:r>
    </w:p>
    <w:p w14:paraId="7EB02F68" w14:textId="77777777" w:rsidR="00340BC2" w:rsidRDefault="00000000">
      <w:pPr>
        <w:spacing w:before="200"/>
        <w:jc w:val="both"/>
      </w:pPr>
      <w:r>
        <w:rPr>
          <w:b/>
          <w:bCs/>
        </w:rPr>
        <w:t>Evidence Strength:</w:t>
      </w:r>
      <w:r>
        <w:t xml:space="preserve"> Moderate--High</w:t>
      </w:r>
    </w:p>
    <w:p w14:paraId="4817B007" w14:textId="77777777" w:rsidR="00340BC2" w:rsidRDefault="00000000">
      <w:pPr>
        <w:spacing w:before="200"/>
        <w:jc w:val="both"/>
      </w:pPr>
      <w:r>
        <w:rPr>
          <w:b/>
          <w:bCs/>
        </w:rPr>
        <w:t>Evidence Base:</w:t>
      </w:r>
      <w:r>
        <w:t xml:space="preserve"> Insulin biology, fuel partitioning, integrative reviews</w:t>
      </w:r>
    </w:p>
    <w:p w14:paraId="4FC8D123" w14:textId="77777777" w:rsidR="00340BC2" w:rsidRDefault="00000000">
      <w:pPr>
        <w:spacing w:before="200"/>
        <w:jc w:val="both"/>
      </w:pPr>
      <w:r>
        <w:rPr>
          <w:b/>
          <w:bCs/>
        </w:rPr>
        <w:t>Citation Mapping:</w:t>
      </w:r>
      <w:r>
        <w:t xml:space="preserve"> See Appendix F, Section(s) F.5</w:t>
      </w:r>
    </w:p>
    <w:p w14:paraId="660C0853" w14:textId="77777777" w:rsidR="00340BC2" w:rsidRDefault="00000000">
      <w:pPr>
        <w:pStyle w:val="Heading1"/>
      </w:pPr>
      <w:r>
        <w:t>E-19</w:t>
      </w:r>
    </w:p>
    <w:p w14:paraId="76A84578" w14:textId="77777777" w:rsidR="00340BC2" w:rsidRDefault="00000000">
      <w:pPr>
        <w:jc w:val="both"/>
      </w:pPr>
      <w:r>
        <w:rPr>
          <w:b/>
          <w:bCs/>
        </w:rPr>
        <w:t>Claim:</w:t>
      </w:r>
      <w:r>
        <w:t xml:space="preserve"> Sustainable metabolic change requires alignment of behavior, physiology, and environment.</w:t>
      </w:r>
    </w:p>
    <w:p w14:paraId="307E0D52" w14:textId="77777777" w:rsidR="00340BC2" w:rsidRDefault="00000000">
      <w:pPr>
        <w:spacing w:before="200"/>
        <w:jc w:val="both"/>
      </w:pPr>
      <w:r>
        <w:rPr>
          <w:b/>
          <w:bCs/>
        </w:rPr>
        <w:t>Type:</w:t>
      </w:r>
      <w:r>
        <w:t xml:space="preserve"> Clinical / Systems</w:t>
      </w:r>
    </w:p>
    <w:p w14:paraId="6ED1DEE0" w14:textId="77777777" w:rsidR="00340BC2" w:rsidRDefault="00000000">
      <w:pPr>
        <w:spacing w:before="200"/>
        <w:jc w:val="both"/>
      </w:pPr>
      <w:r>
        <w:rPr>
          <w:b/>
          <w:bCs/>
        </w:rPr>
        <w:t>Evidence Strength:</w:t>
      </w:r>
      <w:r>
        <w:t xml:space="preserve"> High</w:t>
      </w:r>
    </w:p>
    <w:p w14:paraId="04601A49" w14:textId="77777777" w:rsidR="00340BC2" w:rsidRDefault="00000000">
      <w:pPr>
        <w:spacing w:before="200"/>
        <w:jc w:val="both"/>
      </w:pPr>
      <w:r>
        <w:rPr>
          <w:b/>
          <w:bCs/>
        </w:rPr>
        <w:t>Evidence Base:</w:t>
      </w:r>
      <w:r>
        <w:t xml:space="preserve"> Adherence science, stress and sleep physiology</w:t>
      </w:r>
    </w:p>
    <w:p w14:paraId="75DD0D00" w14:textId="77777777" w:rsidR="00340BC2" w:rsidRDefault="00000000">
      <w:pPr>
        <w:spacing w:before="200"/>
        <w:jc w:val="both"/>
      </w:pPr>
      <w:r>
        <w:rPr>
          <w:b/>
          <w:bCs/>
        </w:rPr>
        <w:t>Citation Mapping:</w:t>
      </w:r>
      <w:r>
        <w:t xml:space="preserve"> See Appendix F, Section(s) F.9</w:t>
      </w:r>
    </w:p>
    <w:p w14:paraId="3C48B8D4" w14:textId="77777777" w:rsidR="00340BC2" w:rsidRDefault="00000000">
      <w:pPr>
        <w:pStyle w:val="Heading1"/>
      </w:pPr>
      <w:r>
        <w:t>E-20</w:t>
      </w:r>
    </w:p>
    <w:p w14:paraId="4CE77235" w14:textId="77777777" w:rsidR="00340BC2" w:rsidRDefault="00000000">
      <w:pPr>
        <w:jc w:val="both"/>
      </w:pPr>
      <w:r>
        <w:rPr>
          <w:b/>
          <w:bCs/>
        </w:rPr>
        <w:t>Claim:</w:t>
      </w:r>
      <w:r>
        <w:t xml:space="preserve"> The exam room represents a major inflection point for metabolic outcomes.</w:t>
      </w:r>
    </w:p>
    <w:p w14:paraId="6615493F" w14:textId="77777777" w:rsidR="00340BC2" w:rsidRDefault="00000000">
      <w:pPr>
        <w:spacing w:before="200"/>
        <w:jc w:val="both"/>
      </w:pPr>
      <w:r>
        <w:rPr>
          <w:b/>
          <w:bCs/>
        </w:rPr>
        <w:t>Type:</w:t>
      </w:r>
      <w:r>
        <w:t xml:space="preserve"> Systems / Narrative</w:t>
      </w:r>
    </w:p>
    <w:p w14:paraId="59A7E89A" w14:textId="77777777" w:rsidR="00340BC2" w:rsidRDefault="00000000">
      <w:pPr>
        <w:spacing w:before="200"/>
        <w:jc w:val="both"/>
      </w:pPr>
      <w:r>
        <w:rPr>
          <w:b/>
          <w:bCs/>
        </w:rPr>
        <w:t>Evidence Strength:</w:t>
      </w:r>
      <w:r>
        <w:t xml:space="preserve"> Moderate</w:t>
      </w:r>
    </w:p>
    <w:p w14:paraId="1993394F" w14:textId="77777777" w:rsidR="00340BC2" w:rsidRDefault="00000000">
      <w:pPr>
        <w:spacing w:before="200"/>
        <w:jc w:val="both"/>
      </w:pPr>
      <w:r>
        <w:rPr>
          <w:b/>
          <w:bCs/>
        </w:rPr>
        <w:lastRenderedPageBreak/>
        <w:t>Evidence Base:</w:t>
      </w:r>
      <w:r>
        <w:t xml:space="preserve"> Primary care leverage studies and clinical synthesis</w:t>
      </w:r>
    </w:p>
    <w:p w14:paraId="400A4B9D" w14:textId="77777777" w:rsidR="00340BC2" w:rsidRDefault="00000000">
      <w:pPr>
        <w:spacing w:before="200"/>
        <w:jc w:val="both"/>
      </w:pPr>
      <w:r>
        <w:rPr>
          <w:b/>
          <w:bCs/>
        </w:rPr>
        <w:t>Citation Mapping:</w:t>
      </w:r>
      <w:r>
        <w:t xml:space="preserve"> See Appendix F, Section(s) F.12</w:t>
      </w:r>
    </w:p>
    <w:p w14:paraId="66039D8D" w14:textId="77777777" w:rsidR="00340BC2" w:rsidRDefault="00000000">
      <w:pPr>
        <w:pStyle w:val="Heading1"/>
      </w:pPr>
      <w:r>
        <w:t>E-21</w:t>
      </w:r>
    </w:p>
    <w:p w14:paraId="33C00A0F" w14:textId="77777777" w:rsidR="00340BC2" w:rsidRDefault="00000000">
      <w:pPr>
        <w:jc w:val="both"/>
      </w:pPr>
      <w:r>
        <w:rPr>
          <w:b/>
          <w:bCs/>
        </w:rPr>
        <w:t>Claim:</w:t>
      </w:r>
      <w:r>
        <w:t xml:space="preserve"> Highly processed foods engineered for palatability activate dopaminergic reward pathways in ways that bypass satiety signaling.</w:t>
      </w:r>
    </w:p>
    <w:p w14:paraId="694EA123" w14:textId="77777777" w:rsidR="00340BC2" w:rsidRDefault="00000000">
      <w:pPr>
        <w:spacing w:before="200"/>
        <w:jc w:val="both"/>
      </w:pPr>
      <w:r>
        <w:rPr>
          <w:b/>
          <w:bCs/>
        </w:rPr>
        <w:t>Type:</w:t>
      </w:r>
      <w:r>
        <w:t xml:space="preserve"> Mechanistic / Neurobiological</w:t>
      </w:r>
    </w:p>
    <w:p w14:paraId="0888A4B1" w14:textId="77777777" w:rsidR="00340BC2" w:rsidRDefault="00000000">
      <w:pPr>
        <w:spacing w:before="200"/>
        <w:jc w:val="both"/>
      </w:pPr>
      <w:r>
        <w:rPr>
          <w:b/>
          <w:bCs/>
        </w:rPr>
        <w:t>Evidence Strength:</w:t>
      </w:r>
      <w:r>
        <w:t xml:space="preserve"> High</w:t>
      </w:r>
    </w:p>
    <w:p w14:paraId="7D22E021" w14:textId="77777777" w:rsidR="00340BC2" w:rsidRDefault="00000000">
      <w:pPr>
        <w:pStyle w:val="Heading1"/>
      </w:pPr>
      <w:r>
        <w:t>Language Boundaries</w:t>
      </w:r>
    </w:p>
    <w:p w14:paraId="3DFD5D48" w14:textId="77777777" w:rsidR="00340BC2" w:rsidRDefault="00000000">
      <w:pPr>
        <w:pStyle w:val="ListParagraph"/>
        <w:numPr>
          <w:ilvl w:val="0"/>
          <w:numId w:val="2"/>
        </w:numPr>
        <w:spacing w:before="60"/>
      </w:pPr>
      <w:r>
        <w:t>Distinct from DSM substance addiction</w:t>
      </w:r>
    </w:p>
    <w:p w14:paraId="3BF06068" w14:textId="77777777" w:rsidR="00340BC2" w:rsidRDefault="00000000">
      <w:pPr>
        <w:pStyle w:val="ListParagraph"/>
        <w:numPr>
          <w:ilvl w:val="0"/>
          <w:numId w:val="2"/>
        </w:numPr>
        <w:spacing w:before="60"/>
      </w:pPr>
      <w:r>
        <w:t>Refers to reinforced compulsive consumption</w:t>
      </w:r>
    </w:p>
    <w:p w14:paraId="0FAF5A0A" w14:textId="77777777" w:rsidR="00340BC2" w:rsidRDefault="00000000">
      <w:pPr>
        <w:jc w:val="both"/>
      </w:pPr>
      <w:r>
        <w:rPr>
          <w:b/>
          <w:bCs/>
        </w:rPr>
        <w:t>Citation Mapping:</w:t>
      </w:r>
      <w:r>
        <w:t xml:space="preserve"> See Appendix F, Section(s) F.14</w:t>
      </w:r>
    </w:p>
    <w:p w14:paraId="551DE675" w14:textId="77777777" w:rsidR="00340BC2" w:rsidRDefault="00000000">
      <w:pPr>
        <w:pStyle w:val="Heading1"/>
      </w:pPr>
      <w:r>
        <w:t>E-22</w:t>
      </w:r>
    </w:p>
    <w:p w14:paraId="771EF283" w14:textId="77777777" w:rsidR="00340BC2" w:rsidRDefault="00000000">
      <w:pPr>
        <w:jc w:val="both"/>
      </w:pPr>
      <w:r>
        <w:rPr>
          <w:b/>
          <w:bCs/>
        </w:rPr>
        <w:t>Claim:</w:t>
      </w:r>
      <w:r>
        <w:t xml:space="preserve"> The combination of refined carbohydrates and fat ("bliss point") delays satiety and promotes overconsumption.</w:t>
      </w:r>
    </w:p>
    <w:p w14:paraId="794A8DE3" w14:textId="77777777" w:rsidR="00340BC2" w:rsidRDefault="00000000">
      <w:pPr>
        <w:spacing w:before="200"/>
        <w:jc w:val="both"/>
      </w:pPr>
      <w:r>
        <w:rPr>
          <w:b/>
          <w:bCs/>
        </w:rPr>
        <w:t>Type:</w:t>
      </w:r>
      <w:r>
        <w:t xml:space="preserve"> Mechanistic</w:t>
      </w:r>
    </w:p>
    <w:p w14:paraId="3C3238DF" w14:textId="77777777" w:rsidR="00340BC2" w:rsidRDefault="00000000">
      <w:pPr>
        <w:spacing w:before="200"/>
        <w:jc w:val="both"/>
      </w:pPr>
      <w:r>
        <w:rPr>
          <w:b/>
          <w:bCs/>
        </w:rPr>
        <w:t>Evidence Strength:</w:t>
      </w:r>
      <w:r>
        <w:t xml:space="preserve"> High</w:t>
      </w:r>
    </w:p>
    <w:p w14:paraId="6DBCA324" w14:textId="77777777" w:rsidR="00340BC2" w:rsidRDefault="00000000">
      <w:pPr>
        <w:jc w:val="both"/>
      </w:pPr>
      <w:r>
        <w:rPr>
          <w:b/>
          <w:bCs/>
        </w:rPr>
        <w:t>Citation Mapping:</w:t>
      </w:r>
      <w:r>
        <w:t xml:space="preserve"> See Appendix F, Section(s) F.14</w:t>
      </w:r>
    </w:p>
    <w:p w14:paraId="78CB9E00" w14:textId="77777777" w:rsidR="00340BC2" w:rsidRDefault="00000000">
      <w:pPr>
        <w:pStyle w:val="Heading1"/>
      </w:pPr>
      <w:r>
        <w:t>E-23</w:t>
      </w:r>
    </w:p>
    <w:p w14:paraId="367964DB" w14:textId="77777777" w:rsidR="00340BC2" w:rsidRDefault="00000000">
      <w:pPr>
        <w:jc w:val="both"/>
      </w:pPr>
      <w:r>
        <w:rPr>
          <w:b/>
          <w:bCs/>
        </w:rPr>
        <w:t>Claim:</w:t>
      </w:r>
      <w:r>
        <w:t xml:space="preserve"> Persistent cravings reflect disrupted reward signaling and cellular energy instability rather than lack of discipline.</w:t>
      </w:r>
    </w:p>
    <w:p w14:paraId="6A1EECF7" w14:textId="77777777" w:rsidR="00340BC2" w:rsidRDefault="00000000">
      <w:pPr>
        <w:spacing w:before="200"/>
        <w:jc w:val="both"/>
      </w:pPr>
      <w:r>
        <w:rPr>
          <w:b/>
          <w:bCs/>
        </w:rPr>
        <w:t>Type:</w:t>
      </w:r>
      <w:r>
        <w:t xml:space="preserve"> Mechanistic / Clinical</w:t>
      </w:r>
    </w:p>
    <w:p w14:paraId="3F759D8B" w14:textId="77777777" w:rsidR="00340BC2" w:rsidRDefault="00000000">
      <w:pPr>
        <w:spacing w:before="200"/>
        <w:jc w:val="both"/>
      </w:pPr>
      <w:r>
        <w:rPr>
          <w:b/>
          <w:bCs/>
        </w:rPr>
        <w:t>Evidence Strength:</w:t>
      </w:r>
      <w:r>
        <w:t xml:space="preserve"> High</w:t>
      </w:r>
    </w:p>
    <w:p w14:paraId="1E29A0DC" w14:textId="77777777" w:rsidR="00340BC2" w:rsidRDefault="00000000">
      <w:pPr>
        <w:jc w:val="both"/>
      </w:pPr>
      <w:r>
        <w:rPr>
          <w:b/>
          <w:bCs/>
        </w:rPr>
        <w:t>Citation Mapping:</w:t>
      </w:r>
      <w:r>
        <w:t xml:space="preserve"> See Appendix F, Section(s) F.14</w:t>
      </w:r>
    </w:p>
    <w:p w14:paraId="3E0CD6B6" w14:textId="77777777" w:rsidR="00340BC2" w:rsidRDefault="00000000">
      <w:pPr>
        <w:pStyle w:val="Heading1"/>
      </w:pPr>
      <w:r>
        <w:lastRenderedPageBreak/>
        <w:t>E-24</w:t>
      </w:r>
    </w:p>
    <w:p w14:paraId="0D95E634" w14:textId="77777777" w:rsidR="00340BC2" w:rsidRDefault="00000000">
      <w:pPr>
        <w:jc w:val="both"/>
      </w:pPr>
      <w:r>
        <w:rPr>
          <w:b/>
          <w:bCs/>
        </w:rPr>
        <w:t>Claim:</w:t>
      </w:r>
      <w:r>
        <w:t xml:space="preserve"> Mitochondrial overload from chronic glucose exposure increases oxidative stress and reduces metabolic efficiency.</w:t>
      </w:r>
    </w:p>
    <w:p w14:paraId="4AAD0373" w14:textId="77777777" w:rsidR="00340BC2" w:rsidRDefault="00000000">
      <w:pPr>
        <w:spacing w:before="200"/>
        <w:jc w:val="both"/>
      </w:pPr>
      <w:r>
        <w:rPr>
          <w:b/>
          <w:bCs/>
        </w:rPr>
        <w:t>Type:</w:t>
      </w:r>
      <w:r>
        <w:t xml:space="preserve"> Mechanistic</w:t>
      </w:r>
    </w:p>
    <w:p w14:paraId="6A6A3335" w14:textId="77777777" w:rsidR="00340BC2" w:rsidRDefault="00000000">
      <w:pPr>
        <w:spacing w:before="200"/>
        <w:jc w:val="both"/>
      </w:pPr>
      <w:r>
        <w:rPr>
          <w:b/>
          <w:bCs/>
        </w:rPr>
        <w:t>Evidence Strength:</w:t>
      </w:r>
      <w:r>
        <w:t xml:space="preserve"> High</w:t>
      </w:r>
    </w:p>
    <w:p w14:paraId="073B6FB2" w14:textId="77777777" w:rsidR="00340BC2" w:rsidRDefault="00000000">
      <w:pPr>
        <w:jc w:val="both"/>
      </w:pPr>
      <w:r>
        <w:rPr>
          <w:b/>
          <w:bCs/>
        </w:rPr>
        <w:t>Citation Mapping:</w:t>
      </w:r>
      <w:r>
        <w:t xml:space="preserve"> See Appendix F, Section(s) F.2</w:t>
      </w:r>
    </w:p>
    <w:p w14:paraId="0E38A14F" w14:textId="77777777" w:rsidR="00340BC2" w:rsidRDefault="00000000">
      <w:pPr>
        <w:pStyle w:val="Heading1"/>
      </w:pPr>
      <w:r>
        <w:t>E-25</w:t>
      </w:r>
    </w:p>
    <w:p w14:paraId="2D911C88" w14:textId="77777777" w:rsidR="00340BC2" w:rsidRDefault="00000000">
      <w:pPr>
        <w:jc w:val="both"/>
      </w:pPr>
      <w:r>
        <w:rPr>
          <w:b/>
          <w:bCs/>
        </w:rPr>
        <w:t>Claim:</w:t>
      </w:r>
      <w:r>
        <w:t xml:space="preserve"> Fat oxidation provides a more stable ATP yield in insulin-resistant states than glucose-dependent metabolism.</w:t>
      </w:r>
    </w:p>
    <w:p w14:paraId="3300562A" w14:textId="77777777" w:rsidR="00340BC2" w:rsidRDefault="00000000">
      <w:pPr>
        <w:spacing w:before="200"/>
        <w:jc w:val="both"/>
      </w:pPr>
      <w:r>
        <w:rPr>
          <w:b/>
          <w:bCs/>
        </w:rPr>
        <w:t>Type:</w:t>
      </w:r>
      <w:r>
        <w:t xml:space="preserve"> Mechanistic</w:t>
      </w:r>
    </w:p>
    <w:p w14:paraId="2EF64B0C" w14:textId="77777777" w:rsidR="00340BC2" w:rsidRDefault="00000000">
      <w:pPr>
        <w:spacing w:before="200"/>
        <w:jc w:val="both"/>
      </w:pPr>
      <w:r>
        <w:rPr>
          <w:b/>
          <w:bCs/>
        </w:rPr>
        <w:t>Evidence Strength:</w:t>
      </w:r>
      <w:r>
        <w:t xml:space="preserve"> Moderate--High</w:t>
      </w:r>
    </w:p>
    <w:p w14:paraId="39A9D145" w14:textId="77777777" w:rsidR="00340BC2" w:rsidRDefault="00000000">
      <w:pPr>
        <w:jc w:val="both"/>
      </w:pPr>
      <w:r>
        <w:rPr>
          <w:b/>
          <w:bCs/>
        </w:rPr>
        <w:t>Citation Mapping:</w:t>
      </w:r>
      <w:r>
        <w:t xml:space="preserve"> See Appendix F, Section(s) F.2, F.4</w:t>
      </w:r>
    </w:p>
    <w:p w14:paraId="42CE099A" w14:textId="77777777" w:rsidR="00340BC2" w:rsidRDefault="00000000">
      <w:pPr>
        <w:pStyle w:val="Heading1"/>
      </w:pPr>
      <w:r>
        <w:t>E-26</w:t>
      </w:r>
    </w:p>
    <w:p w14:paraId="755321FF" w14:textId="77777777" w:rsidR="00340BC2" w:rsidRDefault="00000000">
      <w:pPr>
        <w:jc w:val="both"/>
      </w:pPr>
      <w:r>
        <w:rPr>
          <w:b/>
          <w:bCs/>
        </w:rPr>
        <w:t>Claim:</w:t>
      </w:r>
      <w:r>
        <w:t xml:space="preserve"> Dietary guidelines historically prioritized population-level cardiovascular hypotheses without testing safety in insulin-resistant individuals.</w:t>
      </w:r>
    </w:p>
    <w:p w14:paraId="114C37AA" w14:textId="77777777" w:rsidR="00340BC2" w:rsidRDefault="00000000">
      <w:pPr>
        <w:spacing w:before="200"/>
        <w:jc w:val="both"/>
      </w:pPr>
      <w:r>
        <w:rPr>
          <w:b/>
          <w:bCs/>
        </w:rPr>
        <w:t>Type:</w:t>
      </w:r>
      <w:r>
        <w:t xml:space="preserve"> Systems / Historical</w:t>
      </w:r>
    </w:p>
    <w:p w14:paraId="34002A2F" w14:textId="77777777" w:rsidR="00340BC2" w:rsidRDefault="00000000">
      <w:pPr>
        <w:spacing w:before="200"/>
        <w:jc w:val="both"/>
      </w:pPr>
      <w:r>
        <w:rPr>
          <w:b/>
          <w:bCs/>
        </w:rPr>
        <w:t>Evidence Strength:</w:t>
      </w:r>
      <w:r>
        <w:t xml:space="preserve"> Moderate</w:t>
      </w:r>
    </w:p>
    <w:p w14:paraId="055F141C" w14:textId="77777777" w:rsidR="00340BC2" w:rsidRDefault="00000000">
      <w:pPr>
        <w:pStyle w:val="Heading1"/>
      </w:pPr>
      <w:r>
        <w:t>Language Boundaries</w:t>
      </w:r>
    </w:p>
    <w:p w14:paraId="2B933124" w14:textId="77777777" w:rsidR="00340BC2" w:rsidRDefault="00000000">
      <w:pPr>
        <w:pStyle w:val="ListParagraph"/>
        <w:numPr>
          <w:ilvl w:val="0"/>
          <w:numId w:val="2"/>
        </w:numPr>
        <w:spacing w:before="60"/>
      </w:pPr>
      <w:r>
        <w:t>Does not allege malice</w:t>
      </w:r>
    </w:p>
    <w:p w14:paraId="48D10A0B" w14:textId="77777777" w:rsidR="00340BC2" w:rsidRDefault="00000000">
      <w:pPr>
        <w:pStyle w:val="ListParagraph"/>
        <w:numPr>
          <w:ilvl w:val="0"/>
          <w:numId w:val="2"/>
        </w:numPr>
        <w:spacing w:before="60"/>
      </w:pPr>
      <w:r>
        <w:t>Addresses evidence sequencing, not intent</w:t>
      </w:r>
    </w:p>
    <w:p w14:paraId="167B2B47" w14:textId="77777777" w:rsidR="00340BC2" w:rsidRDefault="00000000">
      <w:pPr>
        <w:jc w:val="both"/>
      </w:pPr>
      <w:r>
        <w:rPr>
          <w:b/>
          <w:bCs/>
        </w:rPr>
        <w:t>Citation Mapping:</w:t>
      </w:r>
      <w:r>
        <w:t xml:space="preserve"> See Appendix F, Section(s) F.12</w:t>
      </w:r>
    </w:p>
    <w:p w14:paraId="0E38101F" w14:textId="77777777" w:rsidR="00340BC2" w:rsidRDefault="00000000">
      <w:pPr>
        <w:pStyle w:val="Heading1"/>
      </w:pPr>
      <w:r>
        <w:t>E-27</w:t>
      </w:r>
    </w:p>
    <w:p w14:paraId="17CF3A20" w14:textId="77777777" w:rsidR="00340BC2" w:rsidRDefault="00000000">
      <w:pPr>
        <w:jc w:val="both"/>
      </w:pPr>
      <w:r>
        <w:rPr>
          <w:b/>
          <w:bCs/>
        </w:rPr>
        <w:t>Claim:</w:t>
      </w:r>
      <w:r>
        <w:t xml:space="preserve"> Consensus-based guideline processes structurally delay correction even when mechanistic evidence advances.</w:t>
      </w:r>
    </w:p>
    <w:p w14:paraId="03F58E55" w14:textId="77777777" w:rsidR="00340BC2" w:rsidRDefault="00000000">
      <w:pPr>
        <w:spacing w:before="200"/>
        <w:jc w:val="both"/>
      </w:pPr>
      <w:r>
        <w:rPr>
          <w:b/>
          <w:bCs/>
        </w:rPr>
        <w:lastRenderedPageBreak/>
        <w:t>Type:</w:t>
      </w:r>
      <w:r>
        <w:t xml:space="preserve"> Systems</w:t>
      </w:r>
    </w:p>
    <w:p w14:paraId="7E6208E6" w14:textId="77777777" w:rsidR="00340BC2" w:rsidRDefault="00000000">
      <w:pPr>
        <w:spacing w:before="200"/>
        <w:jc w:val="both"/>
      </w:pPr>
      <w:r>
        <w:rPr>
          <w:b/>
          <w:bCs/>
        </w:rPr>
        <w:t>Evidence Strength:</w:t>
      </w:r>
      <w:r>
        <w:t xml:space="preserve"> Moderate</w:t>
      </w:r>
    </w:p>
    <w:p w14:paraId="11FC5E56" w14:textId="77777777" w:rsidR="00340BC2" w:rsidRDefault="00000000">
      <w:pPr>
        <w:jc w:val="both"/>
      </w:pPr>
      <w:r>
        <w:rPr>
          <w:b/>
          <w:bCs/>
        </w:rPr>
        <w:t>Citation Mapping:</w:t>
      </w:r>
      <w:r>
        <w:t xml:space="preserve"> See Appendix F, Section(s) F.12</w:t>
      </w:r>
    </w:p>
    <w:p w14:paraId="19BBC99C" w14:textId="77777777" w:rsidR="00340BC2" w:rsidRDefault="00000000">
      <w:pPr>
        <w:pStyle w:val="Heading1"/>
      </w:pPr>
      <w:r>
        <w:t>E-28</w:t>
      </w:r>
    </w:p>
    <w:p w14:paraId="54321A45" w14:textId="77777777" w:rsidR="00340BC2" w:rsidRDefault="00000000">
      <w:pPr>
        <w:jc w:val="both"/>
      </w:pPr>
      <w:r>
        <w:rPr>
          <w:b/>
          <w:bCs/>
        </w:rPr>
        <w:t>Claim:</w:t>
      </w:r>
      <w:r>
        <w:t xml:space="preserve"> Genetic variants associated with type 2 diabetes account for a minority of disease risk.</w:t>
      </w:r>
    </w:p>
    <w:p w14:paraId="2126B68A" w14:textId="77777777" w:rsidR="00340BC2" w:rsidRDefault="00000000">
      <w:pPr>
        <w:spacing w:before="200"/>
        <w:jc w:val="both"/>
      </w:pPr>
      <w:r>
        <w:rPr>
          <w:b/>
          <w:bCs/>
        </w:rPr>
        <w:t>Type:</w:t>
      </w:r>
      <w:r>
        <w:t xml:space="preserve"> Genetic / Epidemiologic</w:t>
      </w:r>
    </w:p>
    <w:p w14:paraId="65358E11" w14:textId="77777777" w:rsidR="00340BC2" w:rsidRDefault="00000000">
      <w:pPr>
        <w:spacing w:before="200"/>
        <w:jc w:val="both"/>
      </w:pPr>
      <w:r>
        <w:rPr>
          <w:b/>
          <w:bCs/>
        </w:rPr>
        <w:t>Evidence Strength:</w:t>
      </w:r>
      <w:r>
        <w:t xml:space="preserve"> High</w:t>
      </w:r>
    </w:p>
    <w:p w14:paraId="52981C62" w14:textId="77777777" w:rsidR="00340BC2" w:rsidRDefault="00000000">
      <w:pPr>
        <w:jc w:val="both"/>
      </w:pPr>
      <w:r>
        <w:rPr>
          <w:b/>
          <w:bCs/>
        </w:rPr>
        <w:t>Citation Mapping:</w:t>
      </w:r>
      <w:r>
        <w:t xml:space="preserve"> See Appendix F, Section(s) F.11</w:t>
      </w:r>
    </w:p>
    <w:p w14:paraId="3085BF42" w14:textId="77777777" w:rsidR="00340BC2" w:rsidRDefault="00000000">
      <w:pPr>
        <w:pStyle w:val="Heading1"/>
      </w:pPr>
      <w:r>
        <w:t>E-29</w:t>
      </w:r>
    </w:p>
    <w:p w14:paraId="160710C9" w14:textId="77777777" w:rsidR="00340BC2" w:rsidRDefault="00000000">
      <w:pPr>
        <w:jc w:val="both"/>
      </w:pPr>
      <w:r>
        <w:rPr>
          <w:b/>
          <w:bCs/>
        </w:rPr>
        <w:t>Claim:</w:t>
      </w:r>
      <w:r>
        <w:t xml:space="preserve"> Environmental exposure and dietary patterns explain the majority of observed metabolic disease disparities.</w:t>
      </w:r>
    </w:p>
    <w:p w14:paraId="281B9F46" w14:textId="77777777" w:rsidR="00340BC2" w:rsidRDefault="00000000">
      <w:pPr>
        <w:spacing w:before="200"/>
        <w:jc w:val="both"/>
      </w:pPr>
      <w:r>
        <w:rPr>
          <w:b/>
          <w:bCs/>
        </w:rPr>
        <w:t>Type:</w:t>
      </w:r>
      <w:r>
        <w:t xml:space="preserve"> Epidemiologic</w:t>
      </w:r>
    </w:p>
    <w:p w14:paraId="46BA195F" w14:textId="77777777" w:rsidR="00340BC2" w:rsidRDefault="00000000">
      <w:pPr>
        <w:spacing w:before="200"/>
        <w:jc w:val="both"/>
      </w:pPr>
      <w:r>
        <w:rPr>
          <w:b/>
          <w:bCs/>
        </w:rPr>
        <w:t>Evidence Strength:</w:t>
      </w:r>
      <w:r>
        <w:t xml:space="preserve"> High</w:t>
      </w:r>
    </w:p>
    <w:p w14:paraId="6C6C1C4A" w14:textId="77777777" w:rsidR="00340BC2" w:rsidRDefault="00000000">
      <w:pPr>
        <w:jc w:val="both"/>
      </w:pPr>
      <w:r>
        <w:rPr>
          <w:b/>
          <w:bCs/>
        </w:rPr>
        <w:t>Citation Mapping:</w:t>
      </w:r>
      <w:r>
        <w:t xml:space="preserve"> See Appendix F, Section(s) F.12</w:t>
      </w:r>
    </w:p>
    <w:p w14:paraId="0A86275E" w14:textId="77777777" w:rsidR="00340BC2" w:rsidRDefault="00000000">
      <w:pPr>
        <w:pStyle w:val="Heading1"/>
      </w:pPr>
      <w:r>
        <w:t>E-30</w:t>
      </w:r>
    </w:p>
    <w:p w14:paraId="57A0E497" w14:textId="77777777" w:rsidR="00340BC2" w:rsidRDefault="00000000">
      <w:pPr>
        <w:jc w:val="both"/>
      </w:pPr>
      <w:r>
        <w:rPr>
          <w:b/>
          <w:bCs/>
        </w:rPr>
        <w:t>Claim:</w:t>
      </w:r>
      <w:r>
        <w:t xml:space="preserve"> Chronic cortisol elevation independently raises fasting glucose via hepatic gluconeogenesis.</w:t>
      </w:r>
    </w:p>
    <w:p w14:paraId="526E4B79" w14:textId="77777777" w:rsidR="00340BC2" w:rsidRDefault="00000000">
      <w:pPr>
        <w:spacing w:before="200"/>
        <w:jc w:val="both"/>
      </w:pPr>
      <w:r>
        <w:rPr>
          <w:b/>
          <w:bCs/>
        </w:rPr>
        <w:t>Type:</w:t>
      </w:r>
      <w:r>
        <w:t xml:space="preserve"> Mechanistic</w:t>
      </w:r>
    </w:p>
    <w:p w14:paraId="6C5239E5" w14:textId="77777777" w:rsidR="00340BC2" w:rsidRDefault="00000000">
      <w:pPr>
        <w:spacing w:before="200"/>
        <w:jc w:val="both"/>
      </w:pPr>
      <w:r>
        <w:rPr>
          <w:b/>
          <w:bCs/>
        </w:rPr>
        <w:t>Evidence Strength:</w:t>
      </w:r>
      <w:r>
        <w:t xml:space="preserve"> High</w:t>
      </w:r>
    </w:p>
    <w:p w14:paraId="2983F756" w14:textId="77777777" w:rsidR="00340BC2" w:rsidRDefault="00000000">
      <w:pPr>
        <w:jc w:val="both"/>
      </w:pPr>
      <w:r>
        <w:rPr>
          <w:b/>
          <w:bCs/>
        </w:rPr>
        <w:t>Citation Mapping:</w:t>
      </w:r>
      <w:r>
        <w:t xml:space="preserve"> See Appendix F, Section(s) F.9</w:t>
      </w:r>
    </w:p>
    <w:p w14:paraId="46B45C5C" w14:textId="77777777" w:rsidR="00340BC2" w:rsidRDefault="00000000">
      <w:pPr>
        <w:pStyle w:val="Heading1"/>
      </w:pPr>
      <w:r>
        <w:t>E-31</w:t>
      </w:r>
    </w:p>
    <w:p w14:paraId="1047FF28" w14:textId="77777777" w:rsidR="00340BC2" w:rsidRDefault="00000000">
      <w:pPr>
        <w:jc w:val="both"/>
      </w:pPr>
      <w:r>
        <w:rPr>
          <w:b/>
          <w:bCs/>
        </w:rPr>
        <w:t>Claim:</w:t>
      </w:r>
      <w:r>
        <w:t xml:space="preserve"> Allostatic load accelerates biological aging and worsens metabolic outcomes.</w:t>
      </w:r>
    </w:p>
    <w:p w14:paraId="35144AD1" w14:textId="77777777" w:rsidR="00340BC2" w:rsidRDefault="00000000">
      <w:pPr>
        <w:spacing w:before="200"/>
        <w:jc w:val="both"/>
      </w:pPr>
      <w:r>
        <w:rPr>
          <w:b/>
          <w:bCs/>
        </w:rPr>
        <w:lastRenderedPageBreak/>
        <w:t>Type:</w:t>
      </w:r>
      <w:r>
        <w:t xml:space="preserve"> Mechanistic / Epidemiologic</w:t>
      </w:r>
    </w:p>
    <w:p w14:paraId="668710FC" w14:textId="77777777" w:rsidR="00340BC2" w:rsidRDefault="00000000">
      <w:pPr>
        <w:spacing w:before="200"/>
        <w:jc w:val="both"/>
      </w:pPr>
      <w:r>
        <w:rPr>
          <w:b/>
          <w:bCs/>
        </w:rPr>
        <w:t>Evidence Strength:</w:t>
      </w:r>
      <w:r>
        <w:t xml:space="preserve"> High</w:t>
      </w:r>
    </w:p>
    <w:p w14:paraId="66A38450" w14:textId="77777777" w:rsidR="00340BC2" w:rsidRDefault="00000000">
      <w:pPr>
        <w:jc w:val="both"/>
      </w:pPr>
      <w:r>
        <w:rPr>
          <w:b/>
          <w:bCs/>
        </w:rPr>
        <w:t>Citation Mapping: See Appendix F, Section(s) F.12 (Geronimus et al. 2010 for telomere findings)</w:t>
      </w:r>
    </w:p>
    <w:p w14:paraId="2A17D911" w14:textId="77777777" w:rsidR="00340BC2" w:rsidRDefault="00000000">
      <w:pPr>
        <w:pStyle w:val="Heading1"/>
      </w:pPr>
      <w:r>
        <w:t>E-32</w:t>
      </w:r>
    </w:p>
    <w:p w14:paraId="6FEF1925" w14:textId="77777777" w:rsidR="00340BC2" w:rsidRDefault="00000000">
      <w:pPr>
        <w:jc w:val="both"/>
      </w:pPr>
      <w:r>
        <w:rPr>
          <w:b/>
          <w:bCs/>
        </w:rPr>
        <w:t>Claim:</w:t>
      </w:r>
      <w:r>
        <w:t xml:space="preserve"> Shift work and circadian disruption materially impair insulin sensitivity independent of diet.</w:t>
      </w:r>
    </w:p>
    <w:p w14:paraId="42A49495" w14:textId="77777777" w:rsidR="00340BC2" w:rsidRDefault="00000000">
      <w:pPr>
        <w:spacing w:before="200"/>
        <w:jc w:val="both"/>
      </w:pPr>
      <w:r>
        <w:rPr>
          <w:b/>
          <w:bCs/>
        </w:rPr>
        <w:t>Type:</w:t>
      </w:r>
      <w:r>
        <w:t xml:space="preserve"> Clinical / Mechanistic</w:t>
      </w:r>
    </w:p>
    <w:p w14:paraId="3EE4E06F" w14:textId="77777777" w:rsidR="00340BC2" w:rsidRDefault="00000000">
      <w:pPr>
        <w:spacing w:before="200"/>
        <w:jc w:val="both"/>
      </w:pPr>
      <w:r>
        <w:rPr>
          <w:b/>
          <w:bCs/>
        </w:rPr>
        <w:t>Evidence Strength:</w:t>
      </w:r>
      <w:r>
        <w:t xml:space="preserve"> High</w:t>
      </w:r>
    </w:p>
    <w:p w14:paraId="6D82E706" w14:textId="77777777" w:rsidR="00340BC2" w:rsidRDefault="00000000">
      <w:pPr>
        <w:jc w:val="both"/>
      </w:pPr>
      <w:r>
        <w:rPr>
          <w:b/>
          <w:bCs/>
        </w:rPr>
        <w:t>Citation Mapping:</w:t>
      </w:r>
      <w:r>
        <w:t xml:space="preserve"> See Appendix F, Section(s) F.9</w:t>
      </w:r>
    </w:p>
    <w:p w14:paraId="51E5D62D" w14:textId="77777777" w:rsidR="00340BC2" w:rsidRDefault="00000000">
      <w:pPr>
        <w:pStyle w:val="Heading1"/>
      </w:pPr>
      <w:r>
        <w:t>E-33</w:t>
      </w:r>
    </w:p>
    <w:p w14:paraId="79566611" w14:textId="77777777" w:rsidR="00340BC2" w:rsidRDefault="00000000">
      <w:pPr>
        <w:jc w:val="both"/>
      </w:pPr>
      <w:r>
        <w:rPr>
          <w:b/>
          <w:bCs/>
        </w:rPr>
        <w:t>Claim:</w:t>
      </w:r>
      <w:r>
        <w:t xml:space="preserve"> Food deserts and subsidy structures systematically increase exposure to metabolically harmful foods.</w:t>
      </w:r>
    </w:p>
    <w:p w14:paraId="0296A5B2" w14:textId="77777777" w:rsidR="00340BC2" w:rsidRDefault="00000000">
      <w:pPr>
        <w:spacing w:before="200"/>
        <w:jc w:val="both"/>
      </w:pPr>
      <w:r>
        <w:rPr>
          <w:b/>
          <w:bCs/>
        </w:rPr>
        <w:t>Type:</w:t>
      </w:r>
      <w:r>
        <w:t xml:space="preserve"> Systems / Epidemiologic</w:t>
      </w:r>
    </w:p>
    <w:p w14:paraId="685F5961" w14:textId="77777777" w:rsidR="00340BC2" w:rsidRDefault="00000000">
      <w:pPr>
        <w:spacing w:before="200"/>
        <w:jc w:val="both"/>
      </w:pPr>
      <w:r>
        <w:rPr>
          <w:b/>
          <w:bCs/>
        </w:rPr>
        <w:t>Evidence Strength:</w:t>
      </w:r>
      <w:r>
        <w:t xml:space="preserve"> High</w:t>
      </w:r>
    </w:p>
    <w:p w14:paraId="2CF4D587" w14:textId="77777777" w:rsidR="00340BC2" w:rsidRDefault="00000000">
      <w:pPr>
        <w:jc w:val="both"/>
      </w:pPr>
      <w:r>
        <w:rPr>
          <w:b/>
          <w:bCs/>
        </w:rPr>
        <w:t>Citation Mapping:</w:t>
      </w:r>
      <w:r>
        <w:t xml:space="preserve"> See Appendix F, Section(s) F.12, F.13</w:t>
      </w:r>
    </w:p>
    <w:p w14:paraId="47B06D1E" w14:textId="77777777" w:rsidR="00340BC2" w:rsidRDefault="00000000">
      <w:pPr>
        <w:pStyle w:val="Heading1"/>
      </w:pPr>
      <w:r>
        <w:t>E-34</w:t>
      </w:r>
    </w:p>
    <w:p w14:paraId="5656DFE7" w14:textId="77777777" w:rsidR="00340BC2" w:rsidRDefault="00000000">
      <w:pPr>
        <w:jc w:val="both"/>
      </w:pPr>
      <w:r>
        <w:rPr>
          <w:b/>
          <w:bCs/>
        </w:rPr>
        <w:t>Claim:</w:t>
      </w:r>
      <w:r>
        <w:t xml:space="preserve"> Clinical weight-loss stalls represent diagnostic signals rather than patient failure.</w:t>
      </w:r>
    </w:p>
    <w:p w14:paraId="5DD8901C" w14:textId="77777777" w:rsidR="00340BC2" w:rsidRDefault="00000000">
      <w:pPr>
        <w:spacing w:before="200"/>
        <w:jc w:val="both"/>
      </w:pPr>
      <w:r>
        <w:rPr>
          <w:b/>
          <w:bCs/>
        </w:rPr>
        <w:t>Type:</w:t>
      </w:r>
      <w:r>
        <w:t xml:space="preserve"> Clinical-practice</w:t>
      </w:r>
    </w:p>
    <w:p w14:paraId="581D714A" w14:textId="77777777" w:rsidR="00340BC2" w:rsidRDefault="00000000">
      <w:pPr>
        <w:spacing w:before="200"/>
        <w:jc w:val="both"/>
      </w:pPr>
      <w:r>
        <w:rPr>
          <w:b/>
          <w:bCs/>
        </w:rPr>
        <w:t>Evidence Strength:</w:t>
      </w:r>
      <w:r>
        <w:t xml:space="preserve"> Moderate--High</w:t>
      </w:r>
    </w:p>
    <w:p w14:paraId="7C900C08" w14:textId="77777777" w:rsidR="00340BC2" w:rsidRDefault="00000000">
      <w:pPr>
        <w:jc w:val="both"/>
      </w:pPr>
      <w:r>
        <w:rPr>
          <w:b/>
          <w:bCs/>
        </w:rPr>
        <w:t>Citation Mapping:</w:t>
      </w:r>
      <w:r>
        <w:t xml:space="preserve"> See Appendix F, Section(s) F.3</w:t>
      </w:r>
    </w:p>
    <w:p w14:paraId="3D2A7B2E" w14:textId="77777777" w:rsidR="00340BC2" w:rsidRDefault="00000000">
      <w:pPr>
        <w:pStyle w:val="Heading1"/>
      </w:pPr>
      <w:r>
        <w:lastRenderedPageBreak/>
        <w:t>E-35</w:t>
      </w:r>
    </w:p>
    <w:p w14:paraId="21C45952" w14:textId="77777777" w:rsidR="00340BC2" w:rsidRDefault="00000000">
      <w:pPr>
        <w:jc w:val="both"/>
      </w:pPr>
      <w:r>
        <w:rPr>
          <w:b/>
          <w:bCs/>
        </w:rPr>
        <w:t>Claim:</w:t>
      </w:r>
      <w:r>
        <w:t xml:space="preserve"> Persistent hunger during intervention indicates biological mismatch, not inadequate compliance.</w:t>
      </w:r>
    </w:p>
    <w:p w14:paraId="04A36ED1" w14:textId="77777777" w:rsidR="00340BC2" w:rsidRDefault="00000000">
      <w:pPr>
        <w:spacing w:before="200"/>
        <w:jc w:val="both"/>
      </w:pPr>
      <w:r>
        <w:rPr>
          <w:b/>
          <w:bCs/>
        </w:rPr>
        <w:t>Type:</w:t>
      </w:r>
      <w:r>
        <w:t xml:space="preserve"> Clinical-practice</w:t>
      </w:r>
    </w:p>
    <w:p w14:paraId="0CDEFB1B" w14:textId="77777777" w:rsidR="00340BC2" w:rsidRDefault="00000000">
      <w:pPr>
        <w:spacing w:before="200"/>
        <w:jc w:val="both"/>
      </w:pPr>
      <w:r>
        <w:rPr>
          <w:b/>
          <w:bCs/>
        </w:rPr>
        <w:t>Evidence Strength:</w:t>
      </w:r>
      <w:r>
        <w:t xml:space="preserve"> High</w:t>
      </w:r>
    </w:p>
    <w:p w14:paraId="6153F09B" w14:textId="77777777" w:rsidR="00340BC2" w:rsidRDefault="00000000">
      <w:pPr>
        <w:jc w:val="both"/>
      </w:pPr>
      <w:r>
        <w:rPr>
          <w:b/>
          <w:bCs/>
        </w:rPr>
        <w:t>Citation Mapping:</w:t>
      </w:r>
      <w:r>
        <w:t xml:space="preserve"> See Appendix F, Section(s) F.5, F.14</w:t>
      </w:r>
    </w:p>
    <w:p w14:paraId="6C42542E" w14:textId="77777777" w:rsidR="00340BC2" w:rsidRDefault="00000000">
      <w:pPr>
        <w:pStyle w:val="Heading1"/>
      </w:pPr>
      <w:r>
        <w:t>E-36</w:t>
      </w:r>
    </w:p>
    <w:p w14:paraId="47A45BCD" w14:textId="77777777" w:rsidR="00340BC2" w:rsidRDefault="00000000">
      <w:pPr>
        <w:jc w:val="both"/>
      </w:pPr>
      <w:r>
        <w:rPr>
          <w:b/>
          <w:bCs/>
        </w:rPr>
        <w:t>Claim:</w:t>
      </w:r>
      <w:r>
        <w:t xml:space="preserve"> Escalation of therapy should follow metabolic investigation rather than frustration or time pressure.</w:t>
      </w:r>
    </w:p>
    <w:p w14:paraId="0762A151" w14:textId="77777777" w:rsidR="00340BC2" w:rsidRDefault="00000000">
      <w:pPr>
        <w:spacing w:before="200"/>
        <w:jc w:val="both"/>
      </w:pPr>
      <w:r>
        <w:rPr>
          <w:b/>
          <w:bCs/>
        </w:rPr>
        <w:t>Type:</w:t>
      </w:r>
      <w:r>
        <w:t xml:space="preserve"> Clinical-practice</w:t>
      </w:r>
    </w:p>
    <w:p w14:paraId="6DD34BBB" w14:textId="77777777" w:rsidR="00340BC2" w:rsidRDefault="00000000">
      <w:pPr>
        <w:spacing w:before="200"/>
        <w:jc w:val="both"/>
      </w:pPr>
      <w:r>
        <w:rPr>
          <w:b/>
          <w:bCs/>
        </w:rPr>
        <w:t>Evidence Strength:</w:t>
      </w:r>
      <w:r>
        <w:t xml:space="preserve"> Moderate</w:t>
      </w:r>
    </w:p>
    <w:p w14:paraId="5E0D44AF" w14:textId="77777777" w:rsidR="00340BC2" w:rsidRDefault="00000000">
      <w:pPr>
        <w:jc w:val="both"/>
      </w:pPr>
      <w:r>
        <w:rPr>
          <w:b/>
          <w:bCs/>
        </w:rPr>
        <w:t>Citation Mapping:</w:t>
      </w:r>
      <w:r>
        <w:t xml:space="preserve"> See Appendix F, Section(s) F.12</w:t>
      </w:r>
    </w:p>
    <w:p w14:paraId="3E10E23D" w14:textId="77777777" w:rsidR="00340BC2" w:rsidRDefault="00000000">
      <w:pPr>
        <w:pStyle w:val="Heading1"/>
      </w:pPr>
      <w:r>
        <w:t>E-37</w:t>
      </w:r>
    </w:p>
    <w:p w14:paraId="28C410E2" w14:textId="77777777" w:rsidR="00340BC2" w:rsidRDefault="00000000">
      <w:pPr>
        <w:jc w:val="both"/>
      </w:pPr>
      <w:r>
        <w:rPr>
          <w:b/>
          <w:bCs/>
        </w:rPr>
        <w:t>Claim:</w:t>
      </w:r>
      <w:r>
        <w:t xml:space="preserve"> Laboratory values during active metabolic transition require trend-based interpretation.</w:t>
      </w:r>
    </w:p>
    <w:p w14:paraId="04C875F6" w14:textId="77777777" w:rsidR="00340BC2" w:rsidRDefault="00000000">
      <w:pPr>
        <w:spacing w:before="200"/>
        <w:jc w:val="both"/>
      </w:pPr>
      <w:r>
        <w:rPr>
          <w:b/>
          <w:bCs/>
        </w:rPr>
        <w:t>Type:</w:t>
      </w:r>
      <w:r>
        <w:t xml:space="preserve"> Clinical-interpretive</w:t>
      </w:r>
    </w:p>
    <w:p w14:paraId="19621943" w14:textId="77777777" w:rsidR="00340BC2" w:rsidRDefault="00000000">
      <w:pPr>
        <w:spacing w:before="200"/>
        <w:jc w:val="both"/>
      </w:pPr>
      <w:r>
        <w:rPr>
          <w:b/>
          <w:bCs/>
        </w:rPr>
        <w:t>Evidence Strength:</w:t>
      </w:r>
      <w:r>
        <w:t xml:space="preserve"> High</w:t>
      </w:r>
    </w:p>
    <w:p w14:paraId="636FF056" w14:textId="77777777" w:rsidR="00340BC2" w:rsidRDefault="00000000">
      <w:pPr>
        <w:jc w:val="both"/>
      </w:pPr>
      <w:r>
        <w:rPr>
          <w:b/>
          <w:bCs/>
        </w:rPr>
        <w:t>Citation Mapping:</w:t>
      </w:r>
      <w:r>
        <w:t xml:space="preserve"> See Appendix F, Section(s) F.8</w:t>
      </w:r>
    </w:p>
    <w:p w14:paraId="5863FAA4" w14:textId="77777777" w:rsidR="00340BC2" w:rsidRDefault="00000000">
      <w:pPr>
        <w:pStyle w:val="Heading1"/>
      </w:pPr>
      <w:r>
        <w:t>E-38</w:t>
      </w:r>
    </w:p>
    <w:p w14:paraId="0E9358E5" w14:textId="77777777" w:rsidR="00340BC2" w:rsidRDefault="00000000">
      <w:pPr>
        <w:jc w:val="both"/>
      </w:pPr>
      <w:r>
        <w:rPr>
          <w:b/>
          <w:bCs/>
        </w:rPr>
        <w:t>Claim:</w:t>
      </w:r>
      <w:r>
        <w:t xml:space="preserve"> LDL cholesterol reflects lipoprotein transport and must be interpreted within metabolic context.</w:t>
      </w:r>
    </w:p>
    <w:p w14:paraId="45C61192" w14:textId="77777777" w:rsidR="00340BC2" w:rsidRDefault="00000000">
      <w:pPr>
        <w:spacing w:before="200"/>
        <w:jc w:val="both"/>
      </w:pPr>
      <w:r>
        <w:rPr>
          <w:b/>
          <w:bCs/>
        </w:rPr>
        <w:t>Type:</w:t>
      </w:r>
      <w:r>
        <w:t xml:space="preserve"> Clinical-interpretive</w:t>
      </w:r>
    </w:p>
    <w:p w14:paraId="5A9CF9B6" w14:textId="77777777" w:rsidR="00340BC2" w:rsidRDefault="00000000">
      <w:pPr>
        <w:spacing w:before="200"/>
        <w:jc w:val="both"/>
      </w:pPr>
      <w:r>
        <w:rPr>
          <w:b/>
          <w:bCs/>
        </w:rPr>
        <w:t>Evidence Strength:</w:t>
      </w:r>
      <w:r>
        <w:t xml:space="preserve"> High</w:t>
      </w:r>
    </w:p>
    <w:p w14:paraId="532495A1" w14:textId="77777777" w:rsidR="00340BC2" w:rsidRDefault="00000000">
      <w:pPr>
        <w:jc w:val="both"/>
      </w:pPr>
      <w:r>
        <w:rPr>
          <w:b/>
          <w:bCs/>
        </w:rPr>
        <w:t>Citation Mapping:</w:t>
      </w:r>
      <w:r>
        <w:t xml:space="preserve"> See Appendix F, Section(s) F.16</w:t>
      </w:r>
    </w:p>
    <w:p w14:paraId="3D8D2B83" w14:textId="77777777" w:rsidR="00340BC2" w:rsidRDefault="00000000">
      <w:pPr>
        <w:pStyle w:val="Heading1"/>
      </w:pPr>
      <w:r>
        <w:lastRenderedPageBreak/>
        <w:t>E-39</w:t>
      </w:r>
    </w:p>
    <w:p w14:paraId="6BCB1B40" w14:textId="77777777" w:rsidR="00340BC2" w:rsidRDefault="00000000">
      <w:pPr>
        <w:jc w:val="both"/>
      </w:pPr>
      <w:r>
        <w:rPr>
          <w:b/>
          <w:bCs/>
        </w:rPr>
        <w:t>Claim:</w:t>
      </w:r>
      <w:r>
        <w:t xml:space="preserve"> Transient elevations in uric acid and liver enzymes may occur during early metabolic shifts.</w:t>
      </w:r>
    </w:p>
    <w:p w14:paraId="69E15E35" w14:textId="77777777" w:rsidR="00340BC2" w:rsidRDefault="00000000">
      <w:pPr>
        <w:spacing w:before="200"/>
        <w:jc w:val="both"/>
      </w:pPr>
      <w:r>
        <w:rPr>
          <w:b/>
          <w:bCs/>
        </w:rPr>
        <w:t>Type:</w:t>
      </w:r>
      <w:r>
        <w:t xml:space="preserve"> Clinical-interpretive</w:t>
      </w:r>
    </w:p>
    <w:p w14:paraId="05E8101E" w14:textId="77777777" w:rsidR="00340BC2" w:rsidRDefault="00000000">
      <w:pPr>
        <w:spacing w:before="200"/>
        <w:jc w:val="both"/>
      </w:pPr>
      <w:r>
        <w:rPr>
          <w:b/>
          <w:bCs/>
        </w:rPr>
        <w:t>Evidence Strength:</w:t>
      </w:r>
      <w:r>
        <w:t xml:space="preserve"> Moderate--High</w:t>
      </w:r>
    </w:p>
    <w:p w14:paraId="32BF01DA" w14:textId="77777777" w:rsidR="00340BC2" w:rsidRDefault="00000000">
      <w:pPr>
        <w:jc w:val="both"/>
      </w:pPr>
      <w:r>
        <w:rPr>
          <w:b/>
          <w:bCs/>
        </w:rPr>
        <w:t>Citation Mapping:</w:t>
      </w:r>
      <w:r>
        <w:t xml:space="preserve"> See Appendix F, Section(s) F.5</w:t>
      </w:r>
    </w:p>
    <w:p w14:paraId="64B6CF73" w14:textId="77777777" w:rsidR="00340BC2" w:rsidRDefault="00000000">
      <w:pPr>
        <w:pStyle w:val="Heading1"/>
      </w:pPr>
      <w:r>
        <w:t>E-40</w:t>
      </w:r>
    </w:p>
    <w:p w14:paraId="54416503" w14:textId="77777777" w:rsidR="00340BC2" w:rsidRDefault="00000000">
      <w:pPr>
        <w:jc w:val="both"/>
      </w:pPr>
      <w:r>
        <w:rPr>
          <w:b/>
          <w:bCs/>
        </w:rPr>
        <w:t>Claim:</w:t>
      </w:r>
      <w:r>
        <w:t xml:space="preserve"> Effective metabolic care requires alignment of physiology, behavior, environment, and systems support.</w:t>
      </w:r>
    </w:p>
    <w:p w14:paraId="6BCD160E" w14:textId="77777777" w:rsidR="00340BC2" w:rsidRDefault="00000000">
      <w:pPr>
        <w:spacing w:before="200"/>
        <w:jc w:val="both"/>
      </w:pPr>
      <w:r>
        <w:rPr>
          <w:b/>
          <w:bCs/>
        </w:rPr>
        <w:t>Type:</w:t>
      </w:r>
      <w:r>
        <w:t xml:space="preserve"> Integrative</w:t>
      </w:r>
    </w:p>
    <w:p w14:paraId="35D3FB7E" w14:textId="77777777" w:rsidR="00340BC2" w:rsidRDefault="00000000">
      <w:pPr>
        <w:spacing w:before="200"/>
        <w:jc w:val="both"/>
      </w:pPr>
      <w:r>
        <w:rPr>
          <w:b/>
          <w:bCs/>
        </w:rPr>
        <w:t>Evidence Strength:</w:t>
      </w:r>
      <w:r>
        <w:t xml:space="preserve"> High</w:t>
      </w:r>
    </w:p>
    <w:p w14:paraId="2063D389" w14:textId="77777777" w:rsidR="00340BC2" w:rsidRDefault="00000000">
      <w:pPr>
        <w:jc w:val="both"/>
      </w:pPr>
      <w:r>
        <w:rPr>
          <w:b/>
          <w:bCs/>
        </w:rPr>
        <w:t>Citation Mapping:</w:t>
      </w:r>
      <w:r>
        <w:t xml:space="preserve"> See Appendix F, Section(s) F.9, F.12</w:t>
      </w:r>
    </w:p>
    <w:p w14:paraId="30B7028A" w14:textId="77777777" w:rsidR="00340BC2" w:rsidRDefault="00000000">
      <w:pPr>
        <w:pStyle w:val="Heading1"/>
      </w:pPr>
      <w:r>
        <w:t>E-41</w:t>
      </w:r>
    </w:p>
    <w:p w14:paraId="77E944D1" w14:textId="77777777" w:rsidR="00340BC2" w:rsidRDefault="00000000">
      <w:pPr>
        <w:jc w:val="both"/>
      </w:pPr>
      <w:r>
        <w:rPr>
          <w:b/>
          <w:bCs/>
        </w:rPr>
        <w:t>Claim:</w:t>
      </w:r>
      <w:r>
        <w:t xml:space="preserve"> The exam room functions as a leverage point where trajectories diverge toward escalation or reversal.</w:t>
      </w:r>
    </w:p>
    <w:p w14:paraId="4B01FA37" w14:textId="77777777" w:rsidR="00340BC2" w:rsidRDefault="00000000">
      <w:pPr>
        <w:spacing w:before="200"/>
        <w:jc w:val="both"/>
      </w:pPr>
      <w:r>
        <w:rPr>
          <w:b/>
          <w:bCs/>
        </w:rPr>
        <w:t>Type:</w:t>
      </w:r>
      <w:r>
        <w:t xml:space="preserve"> Narrative / Systems</w:t>
      </w:r>
    </w:p>
    <w:p w14:paraId="25E8E63A" w14:textId="77777777" w:rsidR="00340BC2" w:rsidRDefault="00000000">
      <w:pPr>
        <w:spacing w:before="200"/>
        <w:jc w:val="both"/>
      </w:pPr>
      <w:r>
        <w:rPr>
          <w:b/>
          <w:bCs/>
        </w:rPr>
        <w:t>Evidence Strength:</w:t>
      </w:r>
      <w:r>
        <w:t xml:space="preserve"> Moderate</w:t>
      </w:r>
    </w:p>
    <w:p w14:paraId="72D4F52A" w14:textId="77777777" w:rsidR="00340BC2" w:rsidRDefault="00000000">
      <w:pPr>
        <w:spacing w:before="200"/>
        <w:jc w:val="both"/>
      </w:pPr>
      <w:r>
        <w:rPr>
          <w:b/>
          <w:bCs/>
        </w:rPr>
        <w:t>Evidence Base:</w:t>
      </w:r>
      <w:r>
        <w:t xml:space="preserve"> Preventive care outcome studies, primary care inflection analyses</w:t>
      </w:r>
    </w:p>
    <w:p w14:paraId="6ECE5201" w14:textId="77777777" w:rsidR="00340BC2" w:rsidRDefault="00000000">
      <w:pPr>
        <w:spacing w:before="200"/>
        <w:jc w:val="both"/>
      </w:pPr>
      <w:r>
        <w:rPr>
          <w:b/>
          <w:bCs/>
        </w:rPr>
        <w:t>Citation Mapping:</w:t>
      </w:r>
      <w:r>
        <w:t xml:space="preserve"> See Appendix F, Section(s) F.12</w:t>
      </w:r>
    </w:p>
    <w:p w14:paraId="7C2CD30A" w14:textId="77777777" w:rsidR="00340BC2" w:rsidRDefault="00000000">
      <w:pPr>
        <w:pStyle w:val="Heading1"/>
      </w:pPr>
      <w:r>
        <w:t>E-42</w:t>
      </w:r>
    </w:p>
    <w:p w14:paraId="5EA92F60" w14:textId="77777777" w:rsidR="00340BC2" w:rsidRDefault="00000000">
      <w:pPr>
        <w:jc w:val="both"/>
      </w:pPr>
      <w:r>
        <w:rPr>
          <w:b/>
          <w:bCs/>
        </w:rPr>
        <w:t>Claim: Between 1995 and 2020, U.S. agricultural subsidies totaled approximately $424 billion, with the majority allocated to corn, soy, wheat, and rice (over $219 billion combined), while fruits and vegetables received roughly 1% of the total.</w:t>
      </w:r>
    </w:p>
    <w:p w14:paraId="1B8B62C0" w14:textId="77777777" w:rsidR="00340BC2" w:rsidRDefault="00000000">
      <w:pPr>
        <w:spacing w:before="200"/>
        <w:jc w:val="both"/>
      </w:pPr>
      <w:r>
        <w:rPr>
          <w:b/>
          <w:bCs/>
        </w:rPr>
        <w:lastRenderedPageBreak/>
        <w:t>Type:</w:t>
      </w:r>
      <w:r>
        <w:t xml:space="preserve"> Systems-incentive / Epidemiologic</w:t>
      </w:r>
    </w:p>
    <w:p w14:paraId="4D58104E" w14:textId="77777777" w:rsidR="00340BC2" w:rsidRDefault="00000000">
      <w:pPr>
        <w:spacing w:before="200"/>
        <w:jc w:val="both"/>
      </w:pPr>
      <w:r>
        <w:rPr>
          <w:b/>
          <w:bCs/>
        </w:rPr>
        <w:t>Evidence Strength:</w:t>
      </w:r>
      <w:r>
        <w:t xml:space="preserve"> High</w:t>
      </w:r>
    </w:p>
    <w:p w14:paraId="46764EC9" w14:textId="77777777" w:rsidR="00340BC2" w:rsidRDefault="00000000">
      <w:pPr>
        <w:pStyle w:val="Heading1"/>
      </w:pPr>
      <w:r>
        <w:t>Language Boundaries</w:t>
      </w:r>
    </w:p>
    <w:p w14:paraId="43B955AD" w14:textId="77777777" w:rsidR="00340BC2" w:rsidRDefault="00000000">
      <w:pPr>
        <w:pStyle w:val="ListParagraph"/>
        <w:numPr>
          <w:ilvl w:val="0"/>
          <w:numId w:val="2"/>
        </w:numPr>
        <w:spacing w:before="60"/>
      </w:pPr>
      <w:r>
        <w:t>Reflects aggregate federal subsidy allocation</w:t>
      </w:r>
    </w:p>
    <w:p w14:paraId="3818B3D3" w14:textId="77777777" w:rsidR="00340BC2" w:rsidRDefault="00000000">
      <w:pPr>
        <w:pStyle w:val="ListParagraph"/>
        <w:numPr>
          <w:ilvl w:val="0"/>
          <w:numId w:val="2"/>
        </w:numPr>
        <w:spacing w:before="60"/>
      </w:pPr>
      <w:r>
        <w:t>Does not imply direct dietary causation</w:t>
      </w:r>
    </w:p>
    <w:p w14:paraId="26B787A9" w14:textId="77777777" w:rsidR="00340BC2" w:rsidRDefault="00000000">
      <w:pPr>
        <w:pStyle w:val="ListParagraph"/>
        <w:numPr>
          <w:ilvl w:val="0"/>
          <w:numId w:val="2"/>
        </w:numPr>
        <w:spacing w:before="60"/>
      </w:pPr>
      <w:r>
        <w:t>Demonstrates structural incentive alignment</w:t>
      </w:r>
    </w:p>
    <w:p w14:paraId="69DC2859" w14:textId="77777777" w:rsidR="00340BC2" w:rsidRDefault="00000000">
      <w:pPr>
        <w:pStyle w:val="Heading1"/>
      </w:pPr>
      <w:r>
        <w:t>Quantitative Detail</w:t>
      </w:r>
    </w:p>
    <w:p w14:paraId="3E04C2E3" w14:textId="77777777" w:rsidR="00340BC2" w:rsidRDefault="00000000">
      <w:pPr>
        <w:pStyle w:val="ListParagraph"/>
        <w:numPr>
          <w:ilvl w:val="0"/>
          <w:numId w:val="2"/>
        </w:numPr>
        <w:spacing w:before="60"/>
      </w:pPr>
      <w:r>
        <w:t>Corn: ~$116.6B</w:t>
      </w:r>
    </w:p>
    <w:p w14:paraId="57B54F29" w14:textId="77777777" w:rsidR="00340BC2" w:rsidRDefault="00000000">
      <w:pPr>
        <w:pStyle w:val="ListParagraph"/>
        <w:numPr>
          <w:ilvl w:val="0"/>
          <w:numId w:val="2"/>
        </w:numPr>
        <w:spacing w:before="60"/>
      </w:pPr>
      <w:r>
        <w:t>Soybeans: ~$49.8B</w:t>
      </w:r>
    </w:p>
    <w:p w14:paraId="61AAC9C9" w14:textId="77777777" w:rsidR="00340BC2" w:rsidRDefault="00000000">
      <w:pPr>
        <w:pStyle w:val="ListParagraph"/>
        <w:numPr>
          <w:ilvl w:val="0"/>
          <w:numId w:val="2"/>
        </w:numPr>
        <w:spacing w:before="60"/>
      </w:pPr>
      <w:r>
        <w:t>Wheat: ~$35.4B</w:t>
      </w:r>
    </w:p>
    <w:p w14:paraId="700C0174" w14:textId="77777777" w:rsidR="00340BC2" w:rsidRDefault="00000000">
      <w:pPr>
        <w:pStyle w:val="ListParagraph"/>
        <w:numPr>
          <w:ilvl w:val="0"/>
          <w:numId w:val="2"/>
        </w:numPr>
        <w:spacing w:before="60"/>
      </w:pPr>
      <w:r>
        <w:t>Fruits &amp; vegetables: ~$4.5B</w:t>
      </w:r>
    </w:p>
    <w:p w14:paraId="17A0AC64" w14:textId="77777777" w:rsidR="00340BC2" w:rsidRDefault="00000000">
      <w:pPr>
        <w:jc w:val="both"/>
      </w:pPr>
      <w:r>
        <w:rPr>
          <w:b/>
          <w:bCs/>
        </w:rPr>
        <w:t>Citation Mapping:</w:t>
      </w:r>
      <w:r>
        <w:t xml:space="preserve"> See Appendix F, Section(s) F.13</w:t>
      </w:r>
    </w:p>
    <w:p w14:paraId="0A02255D" w14:textId="77777777" w:rsidR="00340BC2" w:rsidRDefault="00000000">
      <w:pPr>
        <w:pStyle w:val="Heading1"/>
      </w:pPr>
      <w:r>
        <w:t>E-43</w:t>
      </w:r>
    </w:p>
    <w:p w14:paraId="0F601AA2" w14:textId="77777777" w:rsidR="00340BC2" w:rsidRDefault="00000000">
      <w:pPr>
        <w:jc w:val="both"/>
      </w:pPr>
      <w:r>
        <w:rPr>
          <w:b/>
          <w:bCs/>
        </w:rPr>
        <w:t>Claim:</w:t>
      </w:r>
      <w:r>
        <w:t xml:space="preserve"> In clinical trials, approximately 25--40% of weight lost during GLP-1 receptor agonist therapy may consist of lean mass, with wide inter-individual variability.</w:t>
      </w:r>
    </w:p>
    <w:p w14:paraId="74EA7504" w14:textId="77777777" w:rsidR="00340BC2" w:rsidRDefault="00000000">
      <w:pPr>
        <w:spacing w:before="200"/>
        <w:jc w:val="both"/>
      </w:pPr>
      <w:r>
        <w:rPr>
          <w:b/>
          <w:bCs/>
        </w:rPr>
        <w:t>Type:</w:t>
      </w:r>
      <w:r>
        <w:t xml:space="preserve"> Clinical-outcome</w:t>
      </w:r>
    </w:p>
    <w:p w14:paraId="6198152F" w14:textId="77777777" w:rsidR="00340BC2" w:rsidRDefault="00000000">
      <w:pPr>
        <w:spacing w:before="200"/>
        <w:jc w:val="both"/>
      </w:pPr>
      <w:r>
        <w:rPr>
          <w:b/>
          <w:bCs/>
        </w:rPr>
        <w:t>Evidence Strength:</w:t>
      </w:r>
      <w:r>
        <w:t xml:space="preserve"> Moderate--High</w:t>
      </w:r>
    </w:p>
    <w:p w14:paraId="22719A25" w14:textId="77777777" w:rsidR="00340BC2" w:rsidRDefault="00000000">
      <w:pPr>
        <w:pStyle w:val="Heading1"/>
      </w:pPr>
      <w:r>
        <w:t>Language Boundaries</w:t>
      </w:r>
    </w:p>
    <w:p w14:paraId="7B3350C2" w14:textId="77777777" w:rsidR="00340BC2" w:rsidRDefault="00000000">
      <w:pPr>
        <w:pStyle w:val="ListParagraph"/>
        <w:numPr>
          <w:ilvl w:val="0"/>
          <w:numId w:val="2"/>
        </w:numPr>
        <w:spacing w:before="60"/>
      </w:pPr>
      <w:r>
        <w:t>Percentage varies by agent, duration, protein intake, resistance training, and baseline muscle mass</w:t>
      </w:r>
    </w:p>
    <w:p w14:paraId="7AAE2214" w14:textId="77777777" w:rsidR="00340BC2" w:rsidRDefault="00000000">
      <w:pPr>
        <w:pStyle w:val="ListParagraph"/>
        <w:numPr>
          <w:ilvl w:val="0"/>
          <w:numId w:val="2"/>
        </w:numPr>
        <w:spacing w:before="60"/>
      </w:pPr>
      <w:r>
        <w:t>Does not negate clinical benefit</w:t>
      </w:r>
    </w:p>
    <w:p w14:paraId="055E3FFF" w14:textId="77777777" w:rsidR="00340BC2" w:rsidRDefault="00000000">
      <w:pPr>
        <w:jc w:val="both"/>
      </w:pPr>
      <w:r>
        <w:rPr>
          <w:b/>
          <w:bCs/>
        </w:rPr>
        <w:t>Citation Mapping:</w:t>
      </w:r>
      <w:r>
        <w:t xml:space="preserve"> See Appendix F, Section(s) F.6, F.7</w:t>
      </w:r>
    </w:p>
    <w:p w14:paraId="0BC9CE51" w14:textId="77777777" w:rsidR="00340BC2" w:rsidRDefault="00000000">
      <w:pPr>
        <w:pStyle w:val="Heading1"/>
      </w:pPr>
      <w:r>
        <w:lastRenderedPageBreak/>
        <w:t>E-44</w:t>
      </w:r>
    </w:p>
    <w:p w14:paraId="57FCA123" w14:textId="77777777" w:rsidR="00340BC2" w:rsidRDefault="00000000">
      <w:pPr>
        <w:jc w:val="both"/>
      </w:pPr>
      <w:r>
        <w:rPr>
          <w:b/>
          <w:bCs/>
        </w:rPr>
        <w:t>Claim:</w:t>
      </w:r>
      <w:r>
        <w:t xml:space="preserve"> Over a 10-year period, standard pharmacologic management of type 2 diabetes is estimated to cost substantially more than successful metabolic reversal pathways.</w:t>
      </w:r>
    </w:p>
    <w:p w14:paraId="11BE9FE6" w14:textId="77777777" w:rsidR="00340BC2" w:rsidRDefault="00000000">
      <w:pPr>
        <w:spacing w:before="200"/>
        <w:jc w:val="both"/>
      </w:pPr>
      <w:r>
        <w:rPr>
          <w:b/>
          <w:bCs/>
        </w:rPr>
        <w:t>Type:</w:t>
      </w:r>
      <w:r>
        <w:t xml:space="preserve"> Systems-incentive / Economic</w:t>
      </w:r>
    </w:p>
    <w:p w14:paraId="5908E869" w14:textId="77777777" w:rsidR="00340BC2" w:rsidRDefault="00000000">
      <w:pPr>
        <w:spacing w:before="200"/>
        <w:jc w:val="both"/>
      </w:pPr>
      <w:r>
        <w:rPr>
          <w:b/>
          <w:bCs/>
        </w:rPr>
        <w:t>Evidence Strength:</w:t>
      </w:r>
      <w:r>
        <w:t xml:space="preserve"> Moderate</w:t>
      </w:r>
    </w:p>
    <w:p w14:paraId="45C8E447" w14:textId="77777777" w:rsidR="00340BC2" w:rsidRDefault="00000000">
      <w:pPr>
        <w:pStyle w:val="Heading1"/>
      </w:pPr>
      <w:r>
        <w:t>Language Boundaries</w:t>
      </w:r>
    </w:p>
    <w:p w14:paraId="46EA535B" w14:textId="77777777" w:rsidR="00340BC2" w:rsidRDefault="00000000">
      <w:pPr>
        <w:pStyle w:val="ListParagraph"/>
        <w:numPr>
          <w:ilvl w:val="0"/>
          <w:numId w:val="2"/>
        </w:numPr>
        <w:spacing w:before="60"/>
      </w:pPr>
      <w:r>
        <w:t>Author-derived estimate based on published cost data</w:t>
      </w:r>
    </w:p>
    <w:p w14:paraId="268CA28D" w14:textId="77777777" w:rsidR="00340BC2" w:rsidRDefault="00000000">
      <w:pPr>
        <w:pStyle w:val="ListParagraph"/>
        <w:numPr>
          <w:ilvl w:val="0"/>
          <w:numId w:val="2"/>
        </w:numPr>
        <w:spacing w:before="60"/>
      </w:pPr>
      <w:r>
        <w:t>Includes sensitivity analyses</w:t>
      </w:r>
    </w:p>
    <w:p w14:paraId="7C44C28D" w14:textId="77777777" w:rsidR="00340BC2" w:rsidRDefault="00000000">
      <w:pPr>
        <w:pStyle w:val="ListParagraph"/>
        <w:numPr>
          <w:ilvl w:val="0"/>
          <w:numId w:val="2"/>
        </w:numPr>
        <w:spacing w:before="60"/>
      </w:pPr>
      <w:r>
        <w:t>Intended for comparative illustration, not actuarial prediction</w:t>
      </w:r>
    </w:p>
    <w:p w14:paraId="74E8986D" w14:textId="77777777" w:rsidR="00340BC2" w:rsidRDefault="00000000">
      <w:pPr>
        <w:pStyle w:val="Heading1"/>
      </w:pPr>
      <w:r>
        <w:t>Quantitative Detail</w:t>
      </w:r>
    </w:p>
    <w:p w14:paraId="1A2C7B85" w14:textId="77777777" w:rsidR="00340BC2" w:rsidRDefault="00000000">
      <w:pPr>
        <w:pStyle w:val="ListParagraph"/>
        <w:numPr>
          <w:ilvl w:val="0"/>
          <w:numId w:val="2"/>
        </w:numPr>
        <w:spacing w:before="60"/>
      </w:pPr>
      <w:r>
        <w:t>Standard care: ~$210,000 over 10 years</w:t>
      </w:r>
    </w:p>
    <w:p w14:paraId="378B62C7" w14:textId="77777777" w:rsidR="00340BC2" w:rsidRDefault="00000000">
      <w:pPr>
        <w:pStyle w:val="ListParagraph"/>
        <w:numPr>
          <w:ilvl w:val="0"/>
          <w:numId w:val="2"/>
        </w:numPr>
        <w:spacing w:before="60"/>
      </w:pPr>
      <w:r>
        <w:t>Reversal-focused pathway: ~$32,000 over 10 years</w:t>
      </w:r>
    </w:p>
    <w:p w14:paraId="79592E60" w14:textId="77777777" w:rsidR="00340BC2" w:rsidRDefault="00000000">
      <w:pPr>
        <w:jc w:val="both"/>
      </w:pPr>
      <w:r>
        <w:rPr>
          <w:b/>
          <w:bCs/>
        </w:rPr>
        <w:t>Citation Mapping:</w:t>
      </w:r>
      <w:r>
        <w:t xml:space="preserve"> See Appendix F, Section(s) F.12</w:t>
      </w:r>
    </w:p>
    <w:p w14:paraId="6D552104" w14:textId="77777777" w:rsidR="00340BC2" w:rsidRDefault="00000000">
      <w:pPr>
        <w:pStyle w:val="Heading1"/>
      </w:pPr>
      <w:r>
        <w:t>E-45</w:t>
      </w:r>
    </w:p>
    <w:p w14:paraId="75E0984D" w14:textId="77777777" w:rsidR="00340BC2" w:rsidRDefault="00000000">
      <w:pPr>
        <w:jc w:val="both"/>
      </w:pPr>
      <w:r>
        <w:rPr>
          <w:b/>
          <w:bCs/>
        </w:rPr>
        <w:t>Claim:</w:t>
      </w:r>
      <w:r>
        <w:t xml:space="preserve"> Autophagy activation begins approximately 12--16 hours into fasting, increases substantially by 24--48 hours, and remains elevated during prolonged fasting states.</w:t>
      </w:r>
    </w:p>
    <w:p w14:paraId="443FB9EF" w14:textId="77777777" w:rsidR="00340BC2" w:rsidRDefault="00000000">
      <w:pPr>
        <w:spacing w:before="200"/>
        <w:jc w:val="both"/>
      </w:pPr>
      <w:r>
        <w:rPr>
          <w:b/>
          <w:bCs/>
        </w:rPr>
        <w:t>Type:</w:t>
      </w:r>
      <w:r>
        <w:t xml:space="preserve"> Mechanistic</w:t>
      </w:r>
    </w:p>
    <w:p w14:paraId="5BCCD852" w14:textId="77777777" w:rsidR="00340BC2" w:rsidRDefault="00000000">
      <w:pPr>
        <w:spacing w:before="200"/>
        <w:jc w:val="both"/>
      </w:pPr>
      <w:r>
        <w:rPr>
          <w:b/>
          <w:bCs/>
        </w:rPr>
        <w:t>Evidence Strength:</w:t>
      </w:r>
      <w:r>
        <w:t xml:space="preserve"> Moderate--High</w:t>
      </w:r>
    </w:p>
    <w:p w14:paraId="5C939B1A" w14:textId="77777777" w:rsidR="00340BC2" w:rsidRDefault="00000000">
      <w:pPr>
        <w:pStyle w:val="Heading1"/>
      </w:pPr>
      <w:r>
        <w:t>Language Boundaries</w:t>
      </w:r>
    </w:p>
    <w:p w14:paraId="25B22211" w14:textId="77777777" w:rsidR="00340BC2" w:rsidRDefault="00000000">
      <w:pPr>
        <w:pStyle w:val="ListParagraph"/>
        <w:numPr>
          <w:ilvl w:val="0"/>
          <w:numId w:val="2"/>
        </w:numPr>
        <w:spacing w:before="60"/>
      </w:pPr>
      <w:r>
        <w:t>Timing varies by metabolic health, prior fasting exposure, and insulin sensitivity</w:t>
      </w:r>
    </w:p>
    <w:p w14:paraId="3DD1B60D" w14:textId="77777777" w:rsidR="00340BC2" w:rsidRDefault="00000000">
      <w:pPr>
        <w:pStyle w:val="ListParagraph"/>
        <w:numPr>
          <w:ilvl w:val="0"/>
          <w:numId w:val="2"/>
        </w:numPr>
        <w:spacing w:before="60"/>
      </w:pPr>
      <w:r>
        <w:t>Human data inferred partly from mechanistic and animal models</w:t>
      </w:r>
    </w:p>
    <w:p w14:paraId="3141DC54" w14:textId="77777777" w:rsidR="00340BC2" w:rsidRDefault="00000000">
      <w:pPr>
        <w:jc w:val="both"/>
      </w:pPr>
      <w:r>
        <w:rPr>
          <w:b/>
          <w:bCs/>
        </w:rPr>
        <w:t>Citation Mapping:</w:t>
      </w:r>
      <w:r>
        <w:t xml:space="preserve"> See Appendix F, Section(s) F.10</w:t>
      </w:r>
    </w:p>
    <w:p w14:paraId="46AE408E" w14:textId="77777777" w:rsidR="00340BC2" w:rsidRDefault="00000000">
      <w:pPr>
        <w:pStyle w:val="Heading1"/>
      </w:pPr>
      <w:r>
        <w:lastRenderedPageBreak/>
        <w:t>E-46</w:t>
      </w:r>
    </w:p>
    <w:p w14:paraId="25EF70B6" w14:textId="77777777" w:rsidR="00340BC2" w:rsidRDefault="00000000">
      <w:pPr>
        <w:jc w:val="both"/>
      </w:pPr>
      <w:r>
        <w:rPr>
          <w:b/>
          <w:bCs/>
        </w:rPr>
        <w:t>Claim:</w:t>
      </w:r>
      <w:r>
        <w:t xml:space="preserve"> Individuals with the ApoE ε4/ε4 genotype (approximately 2--3% of the population) may experience exaggerated LDL-C elevations in response to high saturated fat intake.</w:t>
      </w:r>
    </w:p>
    <w:p w14:paraId="6DC3C9E2" w14:textId="77777777" w:rsidR="00340BC2" w:rsidRDefault="00000000">
      <w:pPr>
        <w:spacing w:before="200"/>
        <w:jc w:val="both"/>
      </w:pPr>
      <w:r>
        <w:rPr>
          <w:b/>
          <w:bCs/>
        </w:rPr>
        <w:t>Type:</w:t>
      </w:r>
      <w:r>
        <w:t xml:space="preserve"> Genetic / Clinical</w:t>
      </w:r>
    </w:p>
    <w:p w14:paraId="0B24E628" w14:textId="77777777" w:rsidR="00340BC2" w:rsidRDefault="00000000">
      <w:pPr>
        <w:spacing w:before="200"/>
        <w:jc w:val="both"/>
      </w:pPr>
      <w:r>
        <w:rPr>
          <w:b/>
          <w:bCs/>
        </w:rPr>
        <w:t>Evidence Strength:</w:t>
      </w:r>
      <w:r>
        <w:t xml:space="preserve"> Moderate--High</w:t>
      </w:r>
    </w:p>
    <w:p w14:paraId="219E342C" w14:textId="77777777" w:rsidR="00340BC2" w:rsidRDefault="00000000">
      <w:pPr>
        <w:pStyle w:val="Heading1"/>
      </w:pPr>
      <w:r>
        <w:t>Language Boundaries</w:t>
      </w:r>
    </w:p>
    <w:p w14:paraId="4D4432D5" w14:textId="77777777" w:rsidR="00340BC2" w:rsidRDefault="00000000">
      <w:pPr>
        <w:pStyle w:val="ListParagraph"/>
        <w:numPr>
          <w:ilvl w:val="0"/>
          <w:numId w:val="2"/>
        </w:numPr>
        <w:spacing w:before="60"/>
      </w:pPr>
      <w:r>
        <w:t>Applies to ε4 homozygotes only</w:t>
      </w:r>
    </w:p>
    <w:p w14:paraId="4C5EEDB8" w14:textId="77777777" w:rsidR="00340BC2" w:rsidRDefault="00000000">
      <w:pPr>
        <w:pStyle w:val="ListParagraph"/>
        <w:numPr>
          <w:ilvl w:val="0"/>
          <w:numId w:val="2"/>
        </w:numPr>
        <w:spacing w:before="60"/>
      </w:pPr>
      <w:r>
        <w:t>Supports individualized fat recommendations</w:t>
      </w:r>
    </w:p>
    <w:p w14:paraId="70D28B99" w14:textId="77777777" w:rsidR="00340BC2" w:rsidRDefault="00000000">
      <w:pPr>
        <w:pStyle w:val="ListParagraph"/>
        <w:numPr>
          <w:ilvl w:val="0"/>
          <w:numId w:val="2"/>
        </w:numPr>
        <w:spacing w:before="60"/>
      </w:pPr>
      <w:r>
        <w:t>Does not apply to ε2 or ε3 carriers</w:t>
      </w:r>
    </w:p>
    <w:p w14:paraId="58427207" w14:textId="77777777" w:rsidR="00340BC2" w:rsidRDefault="00000000">
      <w:pPr>
        <w:jc w:val="both"/>
      </w:pPr>
      <w:r>
        <w:rPr>
          <w:b/>
          <w:bCs/>
        </w:rPr>
        <w:t>Citation Mapping:</w:t>
      </w:r>
      <w:r>
        <w:t xml:space="preserve"> See Appendix F, Section(s) F.11</w:t>
      </w:r>
    </w:p>
    <w:p w14:paraId="081D63B8" w14:textId="77777777" w:rsidR="00340BC2" w:rsidRDefault="00000000">
      <w:pPr>
        <w:pStyle w:val="Heading1"/>
      </w:pPr>
      <w:r>
        <w:t>E-47</w:t>
      </w:r>
    </w:p>
    <w:p w14:paraId="6A872FE8" w14:textId="77777777" w:rsidR="00340BC2" w:rsidRDefault="00000000">
      <w:pPr>
        <w:jc w:val="both"/>
      </w:pPr>
      <w:r>
        <w:rPr>
          <w:b/>
          <w:bCs/>
        </w:rPr>
        <w:t>Claim:</w:t>
      </w:r>
      <w:r>
        <w:t xml:space="preserve"> Acute sleep restriction reduces insulin sensitivity by approximately 25--30% in controlled metabolic studies.</w:t>
      </w:r>
    </w:p>
    <w:p w14:paraId="5F45BB9C" w14:textId="77777777" w:rsidR="00340BC2" w:rsidRDefault="00000000">
      <w:pPr>
        <w:spacing w:before="200"/>
        <w:jc w:val="both"/>
      </w:pPr>
      <w:r>
        <w:rPr>
          <w:b/>
          <w:bCs/>
        </w:rPr>
        <w:t>Type:</w:t>
      </w:r>
      <w:r>
        <w:t xml:space="preserve"> Clinical-outcome / Mechanistic</w:t>
      </w:r>
    </w:p>
    <w:p w14:paraId="113B31D5" w14:textId="77777777" w:rsidR="00340BC2" w:rsidRDefault="00000000">
      <w:pPr>
        <w:spacing w:before="200"/>
        <w:jc w:val="both"/>
      </w:pPr>
      <w:r>
        <w:rPr>
          <w:b/>
          <w:bCs/>
        </w:rPr>
        <w:t>Evidence Strength:</w:t>
      </w:r>
      <w:r>
        <w:t xml:space="preserve"> High</w:t>
      </w:r>
    </w:p>
    <w:p w14:paraId="26F369E9" w14:textId="77777777" w:rsidR="00340BC2" w:rsidRDefault="00000000">
      <w:pPr>
        <w:pStyle w:val="Heading1"/>
      </w:pPr>
      <w:r>
        <w:t>Language Boundaries</w:t>
      </w:r>
    </w:p>
    <w:p w14:paraId="6332C597" w14:textId="77777777" w:rsidR="00340BC2" w:rsidRDefault="00000000">
      <w:pPr>
        <w:pStyle w:val="ListParagraph"/>
        <w:numPr>
          <w:ilvl w:val="0"/>
          <w:numId w:val="2"/>
        </w:numPr>
        <w:spacing w:before="60"/>
      </w:pPr>
      <w:r>
        <w:t>Acute effect documented</w:t>
      </w:r>
    </w:p>
    <w:p w14:paraId="2DD329AB" w14:textId="77777777" w:rsidR="00340BC2" w:rsidRDefault="00000000">
      <w:pPr>
        <w:pStyle w:val="ListParagraph"/>
        <w:numPr>
          <w:ilvl w:val="0"/>
          <w:numId w:val="2"/>
        </w:numPr>
        <w:spacing w:before="60"/>
      </w:pPr>
      <w:r>
        <w:t>Chronic sleep debt may compound risk</w:t>
      </w:r>
    </w:p>
    <w:p w14:paraId="18F2499C" w14:textId="77777777" w:rsidR="00340BC2" w:rsidRDefault="00000000">
      <w:pPr>
        <w:jc w:val="both"/>
      </w:pPr>
      <w:r>
        <w:rPr>
          <w:b/>
          <w:bCs/>
        </w:rPr>
        <w:t>Citation Mapping:</w:t>
      </w:r>
      <w:r>
        <w:t xml:space="preserve"> See Appendix F, Section(s) F.9</w:t>
      </w:r>
    </w:p>
    <w:p w14:paraId="21FE99E6" w14:textId="77777777" w:rsidR="00340BC2" w:rsidRDefault="00000000">
      <w:pPr>
        <w:pStyle w:val="Heading1"/>
      </w:pPr>
      <w:r>
        <w:t>E-48</w:t>
      </w:r>
    </w:p>
    <w:p w14:paraId="3F62D72F" w14:textId="77777777" w:rsidR="00340BC2" w:rsidRDefault="00000000">
      <w:pPr>
        <w:jc w:val="both"/>
      </w:pPr>
      <w:r>
        <w:rPr>
          <w:b/>
          <w:bCs/>
        </w:rPr>
        <w:t>Claim:</w:t>
      </w:r>
      <w:r>
        <w:t xml:space="preserve"> Testosterone levels decline at an average rate of approximately 1--2% per year after age 30 in men.</w:t>
      </w:r>
    </w:p>
    <w:p w14:paraId="4DE5FC9E" w14:textId="77777777" w:rsidR="00340BC2" w:rsidRDefault="00000000">
      <w:pPr>
        <w:spacing w:before="200"/>
        <w:jc w:val="both"/>
      </w:pPr>
      <w:r>
        <w:rPr>
          <w:b/>
          <w:bCs/>
        </w:rPr>
        <w:t>Type:</w:t>
      </w:r>
      <w:r>
        <w:t xml:space="preserve"> Epidemiologic / Physiologic</w:t>
      </w:r>
    </w:p>
    <w:p w14:paraId="0B190B60" w14:textId="77777777" w:rsidR="00340BC2" w:rsidRDefault="00000000">
      <w:pPr>
        <w:spacing w:before="200"/>
        <w:jc w:val="both"/>
      </w:pPr>
      <w:r>
        <w:rPr>
          <w:b/>
          <w:bCs/>
        </w:rPr>
        <w:lastRenderedPageBreak/>
        <w:t>Evidence Strength:</w:t>
      </w:r>
      <w:r>
        <w:t xml:space="preserve"> High</w:t>
      </w:r>
    </w:p>
    <w:p w14:paraId="5AD60A69" w14:textId="77777777" w:rsidR="00340BC2" w:rsidRDefault="00000000">
      <w:pPr>
        <w:pStyle w:val="Heading1"/>
      </w:pPr>
      <w:r>
        <w:t>Language Boundaries</w:t>
      </w:r>
    </w:p>
    <w:p w14:paraId="605A423F" w14:textId="77777777" w:rsidR="00340BC2" w:rsidRDefault="00000000">
      <w:pPr>
        <w:pStyle w:val="ListParagraph"/>
        <w:numPr>
          <w:ilvl w:val="0"/>
          <w:numId w:val="2"/>
        </w:numPr>
        <w:spacing w:before="60"/>
      </w:pPr>
      <w:r>
        <w:t>Population average</w:t>
      </w:r>
    </w:p>
    <w:p w14:paraId="01AC5E81" w14:textId="77777777" w:rsidR="00340BC2" w:rsidRDefault="00000000">
      <w:pPr>
        <w:pStyle w:val="ListParagraph"/>
        <w:numPr>
          <w:ilvl w:val="0"/>
          <w:numId w:val="2"/>
        </w:numPr>
        <w:spacing w:before="60"/>
      </w:pPr>
      <w:r>
        <w:t>Individual variation substantial</w:t>
      </w:r>
    </w:p>
    <w:p w14:paraId="4CB238C1" w14:textId="77777777" w:rsidR="00340BC2" w:rsidRDefault="00000000">
      <w:pPr>
        <w:jc w:val="both"/>
      </w:pPr>
      <w:r>
        <w:rPr>
          <w:b/>
          <w:bCs/>
        </w:rPr>
        <w:t>Citation Mapping:</w:t>
      </w:r>
      <w:r>
        <w:t xml:space="preserve"> See Appendix F, Section(s) F.11</w:t>
      </w:r>
    </w:p>
    <w:p w14:paraId="6C381F4D" w14:textId="77777777" w:rsidR="00340BC2" w:rsidRDefault="00000000">
      <w:pPr>
        <w:pStyle w:val="Heading1"/>
      </w:pPr>
      <w:r>
        <w:t>E-49</w:t>
      </w:r>
    </w:p>
    <w:p w14:paraId="4015BFFD" w14:textId="77777777" w:rsidR="00340BC2" w:rsidRDefault="00000000">
      <w:pPr>
        <w:jc w:val="both"/>
      </w:pPr>
      <w:r>
        <w:rPr>
          <w:b/>
          <w:bCs/>
        </w:rPr>
        <w:t>Claim:</w:t>
      </w:r>
      <w:r>
        <w:t xml:space="preserve"> Genetically similar Pima Indian populations exhibit markedly different diabetes prevalence based on environment, with rates near 50% in Arizona compared to under 10% in rural Mexico.</w:t>
      </w:r>
    </w:p>
    <w:p w14:paraId="1D731FDC" w14:textId="77777777" w:rsidR="00340BC2" w:rsidRDefault="00000000">
      <w:pPr>
        <w:spacing w:before="200"/>
        <w:jc w:val="both"/>
      </w:pPr>
      <w:r>
        <w:rPr>
          <w:b/>
          <w:bCs/>
        </w:rPr>
        <w:t>Type:</w:t>
      </w:r>
      <w:r>
        <w:t xml:space="preserve"> Epidemiologic / Genetic</w:t>
      </w:r>
    </w:p>
    <w:p w14:paraId="6499F151" w14:textId="77777777" w:rsidR="00340BC2" w:rsidRDefault="00000000">
      <w:pPr>
        <w:spacing w:before="200"/>
        <w:jc w:val="both"/>
      </w:pPr>
      <w:r>
        <w:rPr>
          <w:b/>
          <w:bCs/>
        </w:rPr>
        <w:t>Evidence Strength:</w:t>
      </w:r>
      <w:r>
        <w:t xml:space="preserve"> High</w:t>
      </w:r>
    </w:p>
    <w:p w14:paraId="00CBABB0" w14:textId="77777777" w:rsidR="00340BC2" w:rsidRDefault="00000000">
      <w:pPr>
        <w:pStyle w:val="Heading1"/>
      </w:pPr>
      <w:r>
        <w:t>Language Boundaries</w:t>
      </w:r>
    </w:p>
    <w:p w14:paraId="20862AB3" w14:textId="77777777" w:rsidR="00340BC2" w:rsidRDefault="00000000">
      <w:pPr>
        <w:pStyle w:val="ListParagraph"/>
        <w:numPr>
          <w:ilvl w:val="0"/>
          <w:numId w:val="2"/>
        </w:numPr>
        <w:spacing w:before="60"/>
      </w:pPr>
      <w:r>
        <w:t>Demonstrates environmental dominance over genetic predisposition</w:t>
      </w:r>
    </w:p>
    <w:p w14:paraId="5620CB80" w14:textId="77777777" w:rsidR="00340BC2" w:rsidRDefault="00000000">
      <w:pPr>
        <w:pStyle w:val="ListParagraph"/>
        <w:numPr>
          <w:ilvl w:val="0"/>
          <w:numId w:val="2"/>
        </w:numPr>
        <w:spacing w:before="60"/>
      </w:pPr>
      <w:r>
        <w:t>Not a claim of universal applicability</w:t>
      </w:r>
    </w:p>
    <w:p w14:paraId="432BD4DD" w14:textId="77777777" w:rsidR="00340BC2" w:rsidRDefault="00000000">
      <w:pPr>
        <w:jc w:val="both"/>
      </w:pPr>
      <w:r>
        <w:rPr>
          <w:b/>
          <w:bCs/>
        </w:rPr>
        <w:t>Citation Mapping:</w:t>
      </w:r>
      <w:r>
        <w:t xml:space="preserve"> See Appendix F, Section(s) F.12</w:t>
      </w:r>
    </w:p>
    <w:p w14:paraId="0391FEFA" w14:textId="77777777" w:rsidR="00340BC2" w:rsidRDefault="00000000">
      <w:pPr>
        <w:pStyle w:val="Heading1"/>
      </w:pPr>
      <w:r>
        <w:t>E-50</w:t>
      </w:r>
    </w:p>
    <w:p w14:paraId="12EF6463" w14:textId="77777777" w:rsidR="00340BC2" w:rsidRDefault="00000000">
      <w:pPr>
        <w:jc w:val="both"/>
      </w:pPr>
      <w:r>
        <w:rPr>
          <w:b/>
          <w:bCs/>
        </w:rPr>
        <w:t>Claim:</w:t>
      </w:r>
      <w:r>
        <w:t xml:space="preserve"> During Cuba's 1991--1995 economic crisis ("Special Period"), population-level diabetes and cardiovascular mortality declined significantly alongside involuntary calorie restriction and increased physical activity.</w:t>
      </w:r>
    </w:p>
    <w:p w14:paraId="04EAD9D9" w14:textId="77777777" w:rsidR="00340BC2" w:rsidRDefault="00000000">
      <w:pPr>
        <w:spacing w:before="200"/>
        <w:jc w:val="both"/>
      </w:pPr>
      <w:r>
        <w:rPr>
          <w:b/>
          <w:bCs/>
        </w:rPr>
        <w:t>Type:</w:t>
      </w:r>
      <w:r>
        <w:t xml:space="preserve"> Epidemiologic / Natural experiment</w:t>
      </w:r>
    </w:p>
    <w:p w14:paraId="40B40FEE" w14:textId="77777777" w:rsidR="00340BC2" w:rsidRDefault="00000000">
      <w:pPr>
        <w:spacing w:before="200"/>
        <w:jc w:val="both"/>
      </w:pPr>
      <w:r>
        <w:rPr>
          <w:b/>
          <w:bCs/>
        </w:rPr>
        <w:t>Evidence Strength:</w:t>
      </w:r>
      <w:r>
        <w:t xml:space="preserve"> Moderate</w:t>
      </w:r>
    </w:p>
    <w:p w14:paraId="56D3FCD8" w14:textId="77777777" w:rsidR="00340BC2" w:rsidRDefault="00000000">
      <w:pPr>
        <w:pStyle w:val="Heading1"/>
      </w:pPr>
      <w:r>
        <w:t>Language Boundaries</w:t>
      </w:r>
    </w:p>
    <w:p w14:paraId="1D97CD14" w14:textId="77777777" w:rsidR="00340BC2" w:rsidRDefault="00000000">
      <w:pPr>
        <w:pStyle w:val="ListParagraph"/>
        <w:numPr>
          <w:ilvl w:val="0"/>
          <w:numId w:val="2"/>
        </w:numPr>
        <w:spacing w:before="60"/>
      </w:pPr>
      <w:r>
        <w:t>Natural experiment with confounders</w:t>
      </w:r>
    </w:p>
    <w:p w14:paraId="63A32D3D" w14:textId="77777777" w:rsidR="00340BC2" w:rsidRDefault="00000000">
      <w:pPr>
        <w:pStyle w:val="ListParagraph"/>
        <w:numPr>
          <w:ilvl w:val="0"/>
          <w:numId w:val="2"/>
        </w:numPr>
        <w:spacing w:before="60"/>
      </w:pPr>
      <w:r>
        <w:t>Does not equate scarcity with optimal nutrition</w:t>
      </w:r>
    </w:p>
    <w:p w14:paraId="060B671D" w14:textId="77777777" w:rsidR="00340BC2" w:rsidRDefault="00000000">
      <w:pPr>
        <w:pStyle w:val="Heading1"/>
      </w:pPr>
      <w:r>
        <w:lastRenderedPageBreak/>
        <w:t>Quantitative Detail</w:t>
      </w:r>
    </w:p>
    <w:p w14:paraId="7E7F70DD" w14:textId="77777777" w:rsidR="00340BC2" w:rsidRDefault="00000000">
      <w:pPr>
        <w:pStyle w:val="ListParagraph"/>
        <w:numPr>
          <w:ilvl w:val="0"/>
          <w:numId w:val="2"/>
        </w:numPr>
        <w:spacing w:before="60"/>
      </w:pPr>
      <w:r>
        <w:t>Diabetes mortality ↓ ~51%</w:t>
      </w:r>
    </w:p>
    <w:p w14:paraId="7A19CA5D" w14:textId="77777777" w:rsidR="00340BC2" w:rsidRDefault="00000000">
      <w:pPr>
        <w:pStyle w:val="ListParagraph"/>
        <w:numPr>
          <w:ilvl w:val="0"/>
          <w:numId w:val="2"/>
        </w:numPr>
        <w:spacing w:before="60"/>
      </w:pPr>
      <w:r>
        <w:t>Cardiovascular mortality ↓ ~35%</w:t>
      </w:r>
    </w:p>
    <w:p w14:paraId="4A754A32" w14:textId="77777777" w:rsidR="00340BC2" w:rsidRDefault="00000000">
      <w:pPr>
        <w:jc w:val="both"/>
      </w:pPr>
      <w:r>
        <w:rPr>
          <w:b/>
          <w:bCs/>
        </w:rPr>
        <w:t>Citation Mapping:</w:t>
      </w:r>
      <w:r>
        <w:t xml:space="preserve"> See Appendix F, Section(s) F.12</w:t>
      </w:r>
    </w:p>
    <w:p w14:paraId="10AC361C" w14:textId="77777777" w:rsidR="00340BC2" w:rsidRDefault="00000000">
      <w:pPr>
        <w:pStyle w:val="Heading1"/>
      </w:pPr>
      <w:r>
        <w:t>E-51</w:t>
      </w:r>
    </w:p>
    <w:p w14:paraId="39A490C3" w14:textId="77777777" w:rsidR="00340BC2" w:rsidRDefault="00000000">
      <w:pPr>
        <w:jc w:val="both"/>
      </w:pPr>
      <w:r>
        <w:rPr>
          <w:b/>
          <w:bCs/>
        </w:rPr>
        <w:t>Claim:</w:t>
      </w:r>
      <w:r>
        <w:t xml:space="preserve"> Black Americans have a higher age-adjusted prevalence of diagnosed diabetes compared to white Americans.</w:t>
      </w:r>
    </w:p>
    <w:p w14:paraId="79525257" w14:textId="77777777" w:rsidR="00340BC2" w:rsidRDefault="00000000">
      <w:pPr>
        <w:spacing w:before="200"/>
        <w:jc w:val="both"/>
      </w:pPr>
      <w:r>
        <w:rPr>
          <w:b/>
          <w:bCs/>
        </w:rPr>
        <w:t>Type:</w:t>
      </w:r>
      <w:r>
        <w:t xml:space="preserve"> Epidemiologic</w:t>
      </w:r>
    </w:p>
    <w:p w14:paraId="662DDB13" w14:textId="77777777" w:rsidR="00340BC2" w:rsidRDefault="00000000">
      <w:pPr>
        <w:spacing w:before="200"/>
        <w:jc w:val="both"/>
      </w:pPr>
      <w:r>
        <w:rPr>
          <w:b/>
          <w:bCs/>
        </w:rPr>
        <w:t>Evidence Strength:</w:t>
      </w:r>
      <w:r>
        <w:t xml:space="preserve"> High</w:t>
      </w:r>
    </w:p>
    <w:p w14:paraId="083A5155" w14:textId="77777777" w:rsidR="00340BC2" w:rsidRDefault="00000000">
      <w:pPr>
        <w:pStyle w:val="Heading1"/>
      </w:pPr>
      <w:r>
        <w:t>Language Boundaries</w:t>
      </w:r>
    </w:p>
    <w:p w14:paraId="404ECCCC" w14:textId="77777777" w:rsidR="00340BC2" w:rsidRDefault="00000000">
      <w:pPr>
        <w:pStyle w:val="ListParagraph"/>
        <w:numPr>
          <w:ilvl w:val="0"/>
          <w:numId w:val="2"/>
        </w:numPr>
        <w:spacing w:before="60"/>
      </w:pPr>
      <w:r>
        <w:t>Reflects structural, environmental, and stress-related exposures</w:t>
      </w:r>
    </w:p>
    <w:p w14:paraId="2A137A50" w14:textId="77777777" w:rsidR="00340BC2" w:rsidRDefault="00000000">
      <w:pPr>
        <w:pStyle w:val="ListParagraph"/>
        <w:numPr>
          <w:ilvl w:val="0"/>
          <w:numId w:val="2"/>
        </w:numPr>
        <w:spacing w:before="60"/>
      </w:pPr>
      <w:r>
        <w:t>Does not imply biological inferiority or genetic determinism</w:t>
      </w:r>
    </w:p>
    <w:p w14:paraId="48481E7C" w14:textId="77777777" w:rsidR="00340BC2" w:rsidRDefault="00000000">
      <w:pPr>
        <w:pStyle w:val="Heading1"/>
      </w:pPr>
      <w:r>
        <w:t>Quantitative Detail</w:t>
      </w:r>
    </w:p>
    <w:p w14:paraId="11C66992" w14:textId="77777777" w:rsidR="00340BC2" w:rsidRDefault="00000000">
      <w:pPr>
        <w:pStyle w:val="ListParagraph"/>
        <w:numPr>
          <w:ilvl w:val="0"/>
          <w:numId w:val="2"/>
        </w:numPr>
        <w:spacing w:before="60"/>
      </w:pPr>
      <w:r>
        <w:t>Black Americans: ~16.4%</w:t>
      </w:r>
    </w:p>
    <w:p w14:paraId="03CCB672" w14:textId="77777777" w:rsidR="00340BC2" w:rsidRDefault="00000000">
      <w:pPr>
        <w:pStyle w:val="ListParagraph"/>
        <w:numPr>
          <w:ilvl w:val="0"/>
          <w:numId w:val="2"/>
        </w:numPr>
        <w:spacing w:before="60"/>
      </w:pPr>
      <w:r>
        <w:t>White Americans: ~11.9%</w:t>
      </w:r>
    </w:p>
    <w:p w14:paraId="5F7FF3ED" w14:textId="77777777" w:rsidR="00340BC2" w:rsidRDefault="00000000">
      <w:pPr>
        <w:jc w:val="both"/>
      </w:pPr>
      <w:r>
        <w:rPr>
          <w:b/>
          <w:bCs/>
        </w:rPr>
        <w:t>Citation Mapping:</w:t>
      </w:r>
      <w:r>
        <w:t xml:space="preserve"> See Appendix F, Section(s) F.12</w:t>
      </w:r>
    </w:p>
    <w:p w14:paraId="4ABDB3FF" w14:textId="77777777" w:rsidR="00340BC2" w:rsidRDefault="00000000">
      <w:pPr>
        <w:pStyle w:val="Heading1"/>
      </w:pPr>
      <w:r>
        <w:t>E-52</w:t>
      </w:r>
    </w:p>
    <w:p w14:paraId="6AAF22DD" w14:textId="77777777" w:rsidR="00340BC2" w:rsidRDefault="00000000">
      <w:pPr>
        <w:jc w:val="both"/>
      </w:pPr>
      <w:r>
        <w:rPr>
          <w:b/>
          <w:bCs/>
        </w:rPr>
        <w:t>Claim:</w:t>
      </w:r>
      <w:r>
        <w:t xml:space="preserve"> Statin therapy is associated with 9--13% increased risk of new-onset type 2 diabetes in meta-analyses of randomized controlled trials.</w:t>
      </w:r>
    </w:p>
    <w:p w14:paraId="5BD96155" w14:textId="77777777" w:rsidR="00340BC2" w:rsidRDefault="00000000">
      <w:pPr>
        <w:spacing w:before="200"/>
        <w:jc w:val="both"/>
      </w:pPr>
      <w:r>
        <w:rPr>
          <w:b/>
          <w:bCs/>
        </w:rPr>
        <w:t>Type:</w:t>
      </w:r>
      <w:r>
        <w:t xml:space="preserve"> Clinical-outcome</w:t>
      </w:r>
    </w:p>
    <w:p w14:paraId="3D77ED0B" w14:textId="77777777" w:rsidR="00340BC2" w:rsidRDefault="00000000">
      <w:pPr>
        <w:spacing w:before="200"/>
        <w:jc w:val="both"/>
      </w:pPr>
      <w:r>
        <w:rPr>
          <w:b/>
          <w:bCs/>
        </w:rPr>
        <w:t>Evidence Strength:</w:t>
      </w:r>
      <w:r>
        <w:t xml:space="preserve"> High</w:t>
      </w:r>
    </w:p>
    <w:p w14:paraId="3CCD9FCE" w14:textId="77777777" w:rsidR="00340BC2" w:rsidRDefault="00000000">
      <w:pPr>
        <w:spacing w:before="200"/>
        <w:jc w:val="both"/>
      </w:pPr>
      <w:r>
        <w:rPr>
          <w:b/>
          <w:bCs/>
        </w:rPr>
        <w:t>Evidence Base:</w:t>
      </w:r>
      <w:r>
        <w:t xml:space="preserve"> Multiple meta-analyses of statin RCTs, observational cohorts</w:t>
      </w:r>
    </w:p>
    <w:p w14:paraId="37786F63" w14:textId="77777777" w:rsidR="00340BC2" w:rsidRDefault="00000000">
      <w:pPr>
        <w:spacing w:before="200"/>
        <w:jc w:val="both"/>
      </w:pPr>
      <w:r>
        <w:rPr>
          <w:b/>
          <w:bCs/>
        </w:rPr>
        <w:lastRenderedPageBreak/>
        <w:t>Notes:</w:t>
      </w:r>
      <w:r>
        <w:t xml:space="preserve"> Observational studies suggest risk may be higher (up to 44%). Risk appears dose-dependent, with high-intensity statins (atorvastatin 80 mg, rosuvastatin) showing greater diabetogenic effect than moderate-intensity statins.</w:t>
      </w:r>
    </w:p>
    <w:p w14:paraId="225602BB" w14:textId="77777777" w:rsidR="00340BC2" w:rsidRDefault="00000000">
      <w:pPr>
        <w:spacing w:before="200"/>
        <w:jc w:val="both"/>
      </w:pPr>
      <w:r>
        <w:rPr>
          <w:b/>
          <w:bCs/>
        </w:rPr>
        <w:t>Citation Mapping:</w:t>
      </w:r>
      <w:r>
        <w:t xml:space="preserve"> See Appendix F, Section(s) F.16</w:t>
      </w:r>
    </w:p>
    <w:p w14:paraId="58B38AA3" w14:textId="77777777" w:rsidR="00340BC2" w:rsidRDefault="00000000">
      <w:pPr>
        <w:pStyle w:val="Heading1"/>
      </w:pPr>
      <w:r>
        <w:t>E-53</w:t>
      </w:r>
    </w:p>
    <w:p w14:paraId="7ADA6CB9" w14:textId="77777777" w:rsidR="00340BC2" w:rsidRDefault="00000000">
      <w:pPr>
        <w:jc w:val="both"/>
      </w:pPr>
      <w:r>
        <w:rPr>
          <w:b/>
          <w:bCs/>
        </w:rPr>
        <w:t>Claim:</w:t>
      </w:r>
      <w:r>
        <w:t xml:space="preserve"> Statin therapy may worsen glycemic control in patients with existing diabetes, with HbA1c increases of 0.12--0.21% documented in meta-analyses.</w:t>
      </w:r>
    </w:p>
    <w:p w14:paraId="2889E96C" w14:textId="77777777" w:rsidR="00340BC2" w:rsidRDefault="00000000">
      <w:pPr>
        <w:spacing w:before="200"/>
        <w:jc w:val="both"/>
      </w:pPr>
      <w:r>
        <w:rPr>
          <w:b/>
          <w:bCs/>
        </w:rPr>
        <w:t>Type:</w:t>
      </w:r>
      <w:r>
        <w:t xml:space="preserve"> Clinical-outcome</w:t>
      </w:r>
    </w:p>
    <w:p w14:paraId="4DCCA395" w14:textId="77777777" w:rsidR="00340BC2" w:rsidRDefault="00000000">
      <w:pPr>
        <w:spacing w:before="200"/>
        <w:jc w:val="both"/>
      </w:pPr>
      <w:r>
        <w:rPr>
          <w:b/>
          <w:bCs/>
        </w:rPr>
        <w:t>Evidence Strength:</w:t>
      </w:r>
      <w:r>
        <w:t xml:space="preserve"> Moderate--High</w:t>
      </w:r>
    </w:p>
    <w:p w14:paraId="3EAC72AE" w14:textId="77777777" w:rsidR="00340BC2" w:rsidRDefault="00000000">
      <w:pPr>
        <w:spacing w:before="200"/>
        <w:jc w:val="both"/>
      </w:pPr>
      <w:r>
        <w:rPr>
          <w:b/>
          <w:bCs/>
        </w:rPr>
        <w:t>Evidence Base:</w:t>
      </w:r>
      <w:r>
        <w:t xml:space="preserve"> Meta-analyses of statin effects on glycemic parameters</w:t>
      </w:r>
    </w:p>
    <w:p w14:paraId="78B85819" w14:textId="77777777" w:rsidR="00340BC2" w:rsidRDefault="00000000">
      <w:pPr>
        <w:spacing w:before="200"/>
        <w:jc w:val="both"/>
      </w:pPr>
      <w:r>
        <w:rPr>
          <w:b/>
          <w:bCs/>
        </w:rPr>
        <w:t>Notes:</w:t>
      </w:r>
      <w:r>
        <w:t xml:space="preserve"> Effect is modest but consistent across studies. High-intensity atorvastatin shows the greatest effect (up to 0.63% HbA1c increase in some analyses). Clinical significance debated but relevant for tight glycemic control targets.</w:t>
      </w:r>
    </w:p>
    <w:p w14:paraId="53189D95" w14:textId="77777777" w:rsidR="00340BC2" w:rsidRDefault="00000000">
      <w:pPr>
        <w:spacing w:before="200"/>
        <w:jc w:val="both"/>
      </w:pPr>
      <w:r>
        <w:rPr>
          <w:b/>
          <w:bCs/>
        </w:rPr>
        <w:t>Citation Mapping:</w:t>
      </w:r>
      <w:r>
        <w:t xml:space="preserve"> See Appendix F, Section(s) F.16</w:t>
      </w:r>
    </w:p>
    <w:p w14:paraId="7262498C" w14:textId="77777777" w:rsidR="00340BC2" w:rsidRDefault="00000000">
      <w:pPr>
        <w:pStyle w:val="Heading1"/>
      </w:pPr>
      <w:r>
        <w:t>E-54</w:t>
      </w:r>
    </w:p>
    <w:p w14:paraId="3FAC79B1" w14:textId="77777777" w:rsidR="00340BC2" w:rsidRDefault="00000000">
      <w:pPr>
        <w:jc w:val="both"/>
      </w:pPr>
      <w:r>
        <w:rPr>
          <w:b/>
          <w:bCs/>
        </w:rPr>
        <w:t>Claim:</w:t>
      </w:r>
      <w:r>
        <w:t xml:space="preserve"> The FDA issued a 2012 warning about statin-associated reversible cognitive impairment (memory loss, confusion, forgetfulness) based on post-marketing reports.</w:t>
      </w:r>
    </w:p>
    <w:p w14:paraId="56C5627A" w14:textId="77777777" w:rsidR="00340BC2" w:rsidRDefault="00000000">
      <w:pPr>
        <w:spacing w:before="200"/>
        <w:jc w:val="both"/>
      </w:pPr>
      <w:r>
        <w:rPr>
          <w:b/>
          <w:bCs/>
        </w:rPr>
        <w:t>Type:</w:t>
      </w:r>
      <w:r>
        <w:t xml:space="preserve"> Regulatory / Clinical</w:t>
      </w:r>
    </w:p>
    <w:p w14:paraId="6D5FC0BA" w14:textId="77777777" w:rsidR="00340BC2" w:rsidRDefault="00000000">
      <w:pPr>
        <w:spacing w:before="200"/>
        <w:jc w:val="both"/>
      </w:pPr>
      <w:r>
        <w:rPr>
          <w:b/>
          <w:bCs/>
        </w:rPr>
        <w:t>Evidence Strength:</w:t>
      </w:r>
      <w:r>
        <w:t xml:space="preserve"> High (regulatory fact)</w:t>
      </w:r>
    </w:p>
    <w:p w14:paraId="0D719AAE" w14:textId="77777777" w:rsidR="00340BC2" w:rsidRDefault="00000000">
      <w:pPr>
        <w:spacing w:before="200"/>
        <w:jc w:val="both"/>
      </w:pPr>
      <w:r>
        <w:rPr>
          <w:b/>
          <w:bCs/>
        </w:rPr>
        <w:t>Evidence Base:</w:t>
      </w:r>
      <w:r>
        <w:t xml:space="preserve"> FDA safety communication, post-marketing surveillance reports</w:t>
      </w:r>
    </w:p>
    <w:p w14:paraId="5A47C978" w14:textId="77777777" w:rsidR="00340BC2" w:rsidRDefault="00000000">
      <w:pPr>
        <w:spacing w:before="200"/>
        <w:jc w:val="both"/>
      </w:pPr>
      <w:r>
        <w:rPr>
          <w:b/>
          <w:bCs/>
        </w:rPr>
        <w:t>Notes:</w:t>
      </w:r>
      <w:r>
        <w:t xml:space="preserve"> FDA described symptoms as "generally not serious and reversible upon discontinuation" with variable onset (1 day to years) and median resolution of 3 weeks. Warning applies to all statins as a class.</w:t>
      </w:r>
    </w:p>
    <w:p w14:paraId="0F08ECA5" w14:textId="77777777" w:rsidR="00340BC2" w:rsidRDefault="00000000">
      <w:pPr>
        <w:spacing w:before="200"/>
        <w:jc w:val="both"/>
      </w:pPr>
      <w:r>
        <w:rPr>
          <w:b/>
          <w:bCs/>
        </w:rPr>
        <w:t>Citation Mapping:</w:t>
      </w:r>
      <w:r>
        <w:t xml:space="preserve"> See Appendix F, Section(s) F.16</w:t>
      </w:r>
    </w:p>
    <w:p w14:paraId="646B2691" w14:textId="77777777" w:rsidR="00340BC2" w:rsidRDefault="00000000">
      <w:pPr>
        <w:pStyle w:val="Heading1"/>
      </w:pPr>
      <w:r>
        <w:lastRenderedPageBreak/>
        <w:t>E-55</w:t>
      </w:r>
    </w:p>
    <w:p w14:paraId="7DB38474" w14:textId="77777777" w:rsidR="00340BC2" w:rsidRDefault="00000000">
      <w:pPr>
        <w:jc w:val="both"/>
      </w:pPr>
      <w:r>
        <w:rPr>
          <w:b/>
          <w:bCs/>
        </w:rPr>
        <w:t>Claim:</w:t>
      </w:r>
      <w:r>
        <w:t xml:space="preserve"> Lipophilic statins (atorvastatin, simvastatin) show higher cognitive adverse event reporting rates than hydrophilic statins (pravastatin, rosuvastatin) in FDA adverse event database analyses.</w:t>
      </w:r>
    </w:p>
    <w:p w14:paraId="6AED590A" w14:textId="77777777" w:rsidR="00340BC2" w:rsidRDefault="00000000">
      <w:pPr>
        <w:spacing w:before="200"/>
        <w:jc w:val="both"/>
      </w:pPr>
      <w:r>
        <w:rPr>
          <w:b/>
          <w:bCs/>
        </w:rPr>
        <w:t>Type:</w:t>
      </w:r>
      <w:r>
        <w:t xml:space="preserve"> Clinical-outcome</w:t>
      </w:r>
    </w:p>
    <w:p w14:paraId="2E7DBB10" w14:textId="77777777" w:rsidR="00340BC2" w:rsidRDefault="00000000">
      <w:pPr>
        <w:spacing w:before="200"/>
        <w:jc w:val="both"/>
      </w:pPr>
      <w:r>
        <w:rPr>
          <w:b/>
          <w:bCs/>
        </w:rPr>
        <w:t>Evidence Strength:</w:t>
      </w:r>
      <w:r>
        <w:t xml:space="preserve"> Moderate--High</w:t>
      </w:r>
    </w:p>
    <w:p w14:paraId="287E13FB" w14:textId="77777777" w:rsidR="00340BC2" w:rsidRDefault="00000000">
      <w:pPr>
        <w:spacing w:before="200"/>
        <w:jc w:val="both"/>
      </w:pPr>
      <w:r>
        <w:rPr>
          <w:b/>
          <w:bCs/>
        </w:rPr>
        <w:t>Evidence Base:</w:t>
      </w:r>
      <w:r>
        <w:t xml:space="preserve"> FDA Adverse Event Reporting System analyses</w:t>
      </w:r>
    </w:p>
    <w:p w14:paraId="07D13C62" w14:textId="77777777" w:rsidR="00340BC2" w:rsidRDefault="00000000">
      <w:pPr>
        <w:spacing w:before="200"/>
        <w:jc w:val="both"/>
      </w:pPr>
      <w:r>
        <w:rPr>
          <w:b/>
          <w:bCs/>
        </w:rPr>
        <w:t>Notes:</w:t>
      </w:r>
      <w:r>
        <w:t xml:space="preserve"> Proportional reporting ratios 2--3x higher for atorvastatin and simvastatin compared to control medications. May reflect greater blood-brain barrier penetration. Findings from voluntary reporting system, subject to reporting bias.</w:t>
      </w:r>
    </w:p>
    <w:p w14:paraId="010637EC" w14:textId="77777777" w:rsidR="00340BC2" w:rsidRDefault="00000000">
      <w:pPr>
        <w:spacing w:before="200"/>
        <w:jc w:val="both"/>
      </w:pPr>
      <w:r>
        <w:rPr>
          <w:b/>
          <w:bCs/>
        </w:rPr>
        <w:t>Citation Mapping:</w:t>
      </w:r>
      <w:r>
        <w:t xml:space="preserve"> See Appendix F, Section(s) F.16</w:t>
      </w:r>
    </w:p>
    <w:p w14:paraId="669C14AD" w14:textId="77777777" w:rsidR="00340BC2" w:rsidRDefault="00000000">
      <w:pPr>
        <w:pStyle w:val="Heading1"/>
      </w:pPr>
      <w:r>
        <w:t>E-56</w:t>
      </w:r>
    </w:p>
    <w:p w14:paraId="0CD216AE" w14:textId="77777777" w:rsidR="00340BC2" w:rsidRDefault="00000000">
      <w:pPr>
        <w:jc w:val="both"/>
      </w:pPr>
      <w:r>
        <w:rPr>
          <w:b/>
          <w:bCs/>
        </w:rPr>
        <w:t>Claim:</w:t>
      </w:r>
      <w:r>
        <w:t xml:space="preserve"> Very low LDL-C (&lt;70 mg/dL) is associated with increased all-cause and cardiovascular mortality in some hospitalized patient populations.</w:t>
      </w:r>
    </w:p>
    <w:p w14:paraId="72BCCA61" w14:textId="77777777" w:rsidR="00340BC2" w:rsidRDefault="00000000">
      <w:pPr>
        <w:spacing w:before="200"/>
        <w:jc w:val="both"/>
      </w:pPr>
      <w:r>
        <w:rPr>
          <w:b/>
          <w:bCs/>
        </w:rPr>
        <w:t>Type:</w:t>
      </w:r>
      <w:r>
        <w:t xml:space="preserve"> Clinical-outcome</w:t>
      </w:r>
    </w:p>
    <w:p w14:paraId="4FACDBC8" w14:textId="77777777" w:rsidR="00340BC2" w:rsidRDefault="00000000">
      <w:pPr>
        <w:spacing w:before="200"/>
        <w:jc w:val="both"/>
      </w:pPr>
      <w:r>
        <w:rPr>
          <w:b/>
          <w:bCs/>
        </w:rPr>
        <w:t>Evidence Strength:</w:t>
      </w:r>
      <w:r>
        <w:t xml:space="preserve"> Moderate</w:t>
      </w:r>
    </w:p>
    <w:p w14:paraId="35785AC1" w14:textId="77777777" w:rsidR="00340BC2" w:rsidRDefault="00000000">
      <w:pPr>
        <w:spacing w:before="200"/>
        <w:jc w:val="both"/>
      </w:pPr>
      <w:r>
        <w:rPr>
          <w:b/>
          <w:bCs/>
        </w:rPr>
        <w:t>Evidence Base:</w:t>
      </w:r>
      <w:r>
        <w:t xml:space="preserve"> SWEDEHEART registry (63,168 patients), observational mortality studies</w:t>
      </w:r>
    </w:p>
    <w:p w14:paraId="653E6272" w14:textId="77777777" w:rsidR="00340BC2" w:rsidRDefault="00000000">
      <w:pPr>
        <w:spacing w:before="200"/>
        <w:jc w:val="both"/>
      </w:pPr>
      <w:r>
        <w:rPr>
          <w:b/>
          <w:bCs/>
        </w:rPr>
        <w:t>Notes:</w:t>
      </w:r>
      <w:r>
        <w:t xml:space="preserve"> Multiple studies document U-shaped relationship between LDL and mortality. May reflect reverse causation (illness suppresses LDL) or confounding by frailty/malnutrition. Does not establish that raising LDL improves outcomes.</w:t>
      </w:r>
    </w:p>
    <w:p w14:paraId="2553A26E" w14:textId="77777777" w:rsidR="00340BC2" w:rsidRDefault="00000000">
      <w:pPr>
        <w:spacing w:before="200"/>
        <w:jc w:val="both"/>
      </w:pPr>
      <w:r>
        <w:rPr>
          <w:b/>
          <w:bCs/>
        </w:rPr>
        <w:t>Citation Mapping:</w:t>
      </w:r>
      <w:r>
        <w:t xml:space="preserve"> See Appendix F, Section(s) F.16</w:t>
      </w:r>
    </w:p>
    <w:p w14:paraId="148B28D6" w14:textId="77777777" w:rsidR="00340BC2" w:rsidRDefault="00000000">
      <w:pPr>
        <w:pStyle w:val="Heading1"/>
      </w:pPr>
      <w:r>
        <w:t>E-57</w:t>
      </w:r>
    </w:p>
    <w:p w14:paraId="39AA492C" w14:textId="77777777" w:rsidR="00340BC2" w:rsidRDefault="00000000">
      <w:pPr>
        <w:jc w:val="both"/>
      </w:pPr>
      <w:r>
        <w:rPr>
          <w:b/>
          <w:bCs/>
        </w:rPr>
        <w:t>Claim:</w:t>
      </w:r>
      <w:r>
        <w:t xml:space="preserve"> In primary prevention, absolute risk reduction from statin therapy is small, approximately 0.2% per year per 1.0 mmol/L LDL-C reduction in all-cause mortality.</w:t>
      </w:r>
    </w:p>
    <w:p w14:paraId="54C5F600" w14:textId="77777777" w:rsidR="00340BC2" w:rsidRDefault="00000000">
      <w:pPr>
        <w:spacing w:before="200"/>
        <w:jc w:val="both"/>
      </w:pPr>
      <w:r>
        <w:rPr>
          <w:b/>
          <w:bCs/>
        </w:rPr>
        <w:lastRenderedPageBreak/>
        <w:t>Type:</w:t>
      </w:r>
      <w:r>
        <w:t xml:space="preserve"> Clinical-outcome</w:t>
      </w:r>
    </w:p>
    <w:p w14:paraId="497B2FBF" w14:textId="77777777" w:rsidR="00340BC2" w:rsidRDefault="00000000">
      <w:pPr>
        <w:spacing w:before="200"/>
        <w:jc w:val="both"/>
      </w:pPr>
      <w:r>
        <w:rPr>
          <w:b/>
          <w:bCs/>
        </w:rPr>
        <w:t>Evidence Strength:</w:t>
      </w:r>
      <w:r>
        <w:t xml:space="preserve"> High</w:t>
      </w:r>
    </w:p>
    <w:p w14:paraId="15E392BF" w14:textId="77777777" w:rsidR="00340BC2" w:rsidRDefault="00000000">
      <w:pPr>
        <w:spacing w:before="200"/>
        <w:jc w:val="both"/>
      </w:pPr>
      <w:r>
        <w:rPr>
          <w:b/>
          <w:bCs/>
        </w:rPr>
        <w:t>Evidence Base:</w:t>
      </w:r>
      <w:r>
        <w:t xml:space="preserve"> Cholesterol Treatment Trialists' Collaboration data</w:t>
      </w:r>
    </w:p>
    <w:p w14:paraId="5681737D" w14:textId="77777777" w:rsidR="00340BC2" w:rsidRDefault="00000000">
      <w:pPr>
        <w:spacing w:before="200"/>
        <w:jc w:val="both"/>
      </w:pPr>
      <w:r>
        <w:rPr>
          <w:b/>
          <w:bCs/>
        </w:rPr>
        <w:t>Notes:</w:t>
      </w:r>
      <w:r>
        <w:t xml:space="preserve"> Translates to NNT often exceeding 100 for 5 years in low-risk populations. Relative risk reductions (often 20--30%) are more commonly reported but less clinically meaningful for individual patients.</w:t>
      </w:r>
    </w:p>
    <w:p w14:paraId="3F3874E7" w14:textId="77777777" w:rsidR="00340BC2" w:rsidRDefault="00000000">
      <w:pPr>
        <w:spacing w:before="200"/>
        <w:jc w:val="both"/>
      </w:pPr>
      <w:r>
        <w:rPr>
          <w:b/>
          <w:bCs/>
        </w:rPr>
        <w:t>Citation Mapping:</w:t>
      </w:r>
      <w:r>
        <w:t xml:space="preserve"> See Appendix F, Section(s) F.16</w:t>
      </w:r>
    </w:p>
    <w:p w14:paraId="73E98A5F" w14:textId="77777777" w:rsidR="00340BC2" w:rsidRDefault="00000000">
      <w:pPr>
        <w:pStyle w:val="Heading1"/>
      </w:pPr>
      <w:r>
        <w:t>E-58</w:t>
      </w:r>
    </w:p>
    <w:p w14:paraId="616E5126" w14:textId="77777777" w:rsidR="00340BC2" w:rsidRDefault="00000000">
      <w:pPr>
        <w:jc w:val="both"/>
      </w:pPr>
      <w:r>
        <w:rPr>
          <w:b/>
          <w:bCs/>
        </w:rPr>
        <w:t>Claim:</w:t>
      </w:r>
      <w:r>
        <w:t xml:space="preserve"> Triglyceride-to-HDL ratio is a stronger predictor of cardiovascular events than LDL-C alone in metabolically unhealthy populations.</w:t>
      </w:r>
    </w:p>
    <w:p w14:paraId="602C1B8F" w14:textId="77777777" w:rsidR="00340BC2" w:rsidRDefault="00000000">
      <w:pPr>
        <w:spacing w:before="200"/>
        <w:jc w:val="both"/>
      </w:pPr>
      <w:r>
        <w:rPr>
          <w:b/>
          <w:bCs/>
        </w:rPr>
        <w:t>Type:</w:t>
      </w:r>
      <w:r>
        <w:t xml:space="preserve"> Clinical-outcome</w:t>
      </w:r>
    </w:p>
    <w:p w14:paraId="172A275A" w14:textId="77777777" w:rsidR="00340BC2" w:rsidRDefault="00000000">
      <w:pPr>
        <w:spacing w:before="200"/>
        <w:jc w:val="both"/>
      </w:pPr>
      <w:r>
        <w:rPr>
          <w:b/>
          <w:bCs/>
        </w:rPr>
        <w:t>Evidence Strength:</w:t>
      </w:r>
      <w:r>
        <w:t xml:space="preserve"> Moderate--High</w:t>
      </w:r>
    </w:p>
    <w:p w14:paraId="47345879" w14:textId="77777777" w:rsidR="00340BC2" w:rsidRDefault="00000000">
      <w:pPr>
        <w:spacing w:before="200"/>
        <w:jc w:val="both"/>
      </w:pPr>
      <w:r>
        <w:rPr>
          <w:b/>
          <w:bCs/>
        </w:rPr>
        <w:t>Evidence Base:</w:t>
      </w:r>
      <w:r>
        <w:t xml:space="preserve"> Multiple observational cardiovascular risk studies</w:t>
      </w:r>
    </w:p>
    <w:p w14:paraId="3E32FD50" w14:textId="77777777" w:rsidR="00340BC2" w:rsidRDefault="00000000">
      <w:pPr>
        <w:spacing w:before="200"/>
        <w:jc w:val="both"/>
      </w:pPr>
      <w:r>
        <w:rPr>
          <w:b/>
          <w:bCs/>
        </w:rPr>
        <w:t>Notes:</w:t>
      </w:r>
      <w:r>
        <w:t xml:space="preserve"> Ratio reflects insulin resistance, small dense LDL particles, and metabolic dysfunction more directly than total LDL. Target ratio &lt;2.0 considered optimal by some clinicians.</w:t>
      </w:r>
    </w:p>
    <w:p w14:paraId="452CBA5B" w14:textId="77777777" w:rsidR="00340BC2" w:rsidRDefault="00000000">
      <w:pPr>
        <w:spacing w:before="200"/>
        <w:jc w:val="both"/>
      </w:pPr>
      <w:r>
        <w:rPr>
          <w:b/>
          <w:bCs/>
        </w:rPr>
        <w:t>Citation Mapping:</w:t>
      </w:r>
      <w:r>
        <w:t xml:space="preserve"> See Appendix F, Section(s) F.16</w:t>
      </w:r>
    </w:p>
    <w:p w14:paraId="5FF61C29" w14:textId="77777777" w:rsidR="00340BC2" w:rsidRDefault="00000000">
      <w:pPr>
        <w:pStyle w:val="Heading1"/>
      </w:pPr>
      <w:r>
        <w:t>E-59</w:t>
      </w:r>
    </w:p>
    <w:p w14:paraId="7FA32855" w14:textId="77777777" w:rsidR="00340BC2" w:rsidRDefault="00000000">
      <w:pPr>
        <w:jc w:val="both"/>
      </w:pPr>
      <w:r>
        <w:rPr>
          <w:b/>
          <w:bCs/>
        </w:rPr>
        <w:t>Claim:</w:t>
      </w:r>
      <w:r>
        <w:t xml:space="preserve"> The ketogenic diet has been used as a medical treatment for drug-resistant epilepsy since 1921 and remains in current clinical practice guidelines.</w:t>
      </w:r>
    </w:p>
    <w:p w14:paraId="314F441C" w14:textId="77777777" w:rsidR="00340BC2" w:rsidRDefault="00000000">
      <w:pPr>
        <w:spacing w:before="200"/>
        <w:jc w:val="both"/>
      </w:pPr>
      <w:r>
        <w:rPr>
          <w:b/>
          <w:bCs/>
        </w:rPr>
        <w:t>Type:</w:t>
      </w:r>
      <w:r>
        <w:t xml:space="preserve"> Clinical-outcome / Historical</w:t>
      </w:r>
    </w:p>
    <w:p w14:paraId="48F4A9FB" w14:textId="77777777" w:rsidR="00340BC2" w:rsidRDefault="00000000">
      <w:pPr>
        <w:spacing w:before="200"/>
        <w:jc w:val="both"/>
      </w:pPr>
      <w:r>
        <w:rPr>
          <w:b/>
          <w:bCs/>
        </w:rPr>
        <w:t>Evidence Strength:</w:t>
      </w:r>
      <w:r>
        <w:t xml:space="preserve"> High</w:t>
      </w:r>
    </w:p>
    <w:p w14:paraId="6D29EAC8" w14:textId="77777777" w:rsidR="00340BC2" w:rsidRDefault="00000000">
      <w:pPr>
        <w:spacing w:before="200"/>
        <w:jc w:val="both"/>
      </w:pPr>
      <w:r>
        <w:rPr>
          <w:b/>
          <w:bCs/>
        </w:rPr>
        <w:t>Evidence Base:</w:t>
      </w:r>
      <w:r>
        <w:t xml:space="preserve"> Cochrane reviews, ILAE guidelines, centennial review literature</w:t>
      </w:r>
    </w:p>
    <w:p w14:paraId="7C20EA5F" w14:textId="77777777" w:rsidR="00340BC2" w:rsidRDefault="00000000">
      <w:pPr>
        <w:spacing w:before="200"/>
        <w:jc w:val="both"/>
      </w:pPr>
      <w:r>
        <w:rPr>
          <w:b/>
          <w:bCs/>
        </w:rPr>
        <w:t>Notes:</w:t>
      </w:r>
      <w:r>
        <w:t xml:space="preserve"> Established medical intervention, not alternative therapy.</w:t>
      </w:r>
    </w:p>
    <w:p w14:paraId="15CC3820" w14:textId="77777777" w:rsidR="00340BC2" w:rsidRDefault="00000000">
      <w:pPr>
        <w:spacing w:before="200"/>
        <w:jc w:val="both"/>
      </w:pPr>
      <w:r>
        <w:rPr>
          <w:b/>
          <w:bCs/>
        </w:rPr>
        <w:lastRenderedPageBreak/>
        <w:t>Citation Mapping:</w:t>
      </w:r>
      <w:r>
        <w:t xml:space="preserve"> See Appendix F, Section(s) F.15</w:t>
      </w:r>
    </w:p>
    <w:p w14:paraId="5691CF9B" w14:textId="77777777" w:rsidR="00340BC2" w:rsidRDefault="00000000">
      <w:pPr>
        <w:pStyle w:val="Heading1"/>
      </w:pPr>
      <w:r>
        <w:t>E-60</w:t>
      </w:r>
    </w:p>
    <w:p w14:paraId="32D65F0D" w14:textId="77777777" w:rsidR="00340BC2" w:rsidRDefault="00000000">
      <w:pPr>
        <w:jc w:val="both"/>
      </w:pPr>
      <w:r>
        <w:rPr>
          <w:b/>
          <w:bCs/>
        </w:rPr>
        <w:t>Claim:</w:t>
      </w:r>
      <w:r>
        <w:t xml:space="preserve"> Emerging clinical research is investigating ketogenic interventions for schizophrenia, bipolar disorder, Alzheimer's disease, and Parkinson's disease, with preliminary evidence suggesting potential benefits.</w:t>
      </w:r>
    </w:p>
    <w:p w14:paraId="65094538" w14:textId="77777777" w:rsidR="00340BC2" w:rsidRDefault="00000000">
      <w:pPr>
        <w:spacing w:before="200"/>
        <w:jc w:val="both"/>
      </w:pPr>
      <w:r>
        <w:rPr>
          <w:b/>
          <w:bCs/>
        </w:rPr>
        <w:t>Type:</w:t>
      </w:r>
      <w:r>
        <w:t xml:space="preserve"> Clinical-outcome</w:t>
      </w:r>
    </w:p>
    <w:p w14:paraId="2FB16AD5" w14:textId="77777777" w:rsidR="00340BC2" w:rsidRDefault="00000000">
      <w:pPr>
        <w:spacing w:before="200"/>
        <w:jc w:val="both"/>
      </w:pPr>
      <w:r>
        <w:rPr>
          <w:b/>
          <w:bCs/>
        </w:rPr>
        <w:t>Evidence Strength:</w:t>
      </w:r>
      <w:r>
        <w:t xml:space="preserve"> Emerging (Moderate)</w:t>
      </w:r>
    </w:p>
    <w:p w14:paraId="445C4006" w14:textId="77777777" w:rsidR="00340BC2" w:rsidRDefault="00000000">
      <w:pPr>
        <w:spacing w:before="200"/>
        <w:jc w:val="both"/>
      </w:pPr>
      <w:r>
        <w:rPr>
          <w:b/>
          <w:bCs/>
        </w:rPr>
        <w:t>Evidence Base:</w:t>
      </w:r>
      <w:r>
        <w:t xml:space="preserve"> Pilot studies, case series, ongoing RCTs at major academic centers</w:t>
      </w:r>
    </w:p>
    <w:p w14:paraId="22110D6F" w14:textId="77777777" w:rsidR="00340BC2" w:rsidRDefault="00000000">
      <w:pPr>
        <w:spacing w:before="200"/>
        <w:jc w:val="both"/>
      </w:pPr>
      <w:r>
        <w:rPr>
          <w:b/>
          <w:bCs/>
        </w:rPr>
        <w:t>Notes:</w:t>
      </w:r>
      <w:r>
        <w:t xml:space="preserve"> "Investigating," "preliminary," "potential", does not claim established efficacy.</w:t>
      </w:r>
    </w:p>
    <w:p w14:paraId="033D1A58" w14:textId="77777777" w:rsidR="00340BC2" w:rsidRDefault="00000000">
      <w:pPr>
        <w:spacing w:before="200"/>
        <w:jc w:val="both"/>
      </w:pPr>
      <w:r>
        <w:rPr>
          <w:b/>
          <w:bCs/>
        </w:rPr>
        <w:t>Citation Mapping:</w:t>
      </w:r>
      <w:r>
        <w:t xml:space="preserve"> See Appendix F, Section(s) F.15</w:t>
      </w:r>
    </w:p>
    <w:p w14:paraId="5A284C3A" w14:textId="77777777" w:rsidR="00340BC2" w:rsidRDefault="00000000">
      <w:pPr>
        <w:pStyle w:val="Heading1"/>
      </w:pPr>
      <w:r>
        <w:t>E-61</w:t>
      </w:r>
    </w:p>
    <w:p w14:paraId="570137FF" w14:textId="77777777" w:rsidR="00340BC2" w:rsidRDefault="00000000">
      <w:pPr>
        <w:jc w:val="both"/>
      </w:pPr>
      <w:r>
        <w:rPr>
          <w:b/>
          <w:bCs/>
        </w:rPr>
        <w:t>Claim:</w:t>
      </w:r>
      <w:r>
        <w:t xml:space="preserve"> Ketones may support brain function in neurodegenerative conditions by bypassing impaired glucose transport mechanisms and providing alternative fuel for energy-starved neurons.</w:t>
      </w:r>
    </w:p>
    <w:p w14:paraId="64CE03D5" w14:textId="77777777" w:rsidR="00340BC2" w:rsidRDefault="00000000">
      <w:pPr>
        <w:spacing w:before="200"/>
        <w:jc w:val="both"/>
      </w:pPr>
      <w:r>
        <w:rPr>
          <w:b/>
          <w:bCs/>
        </w:rPr>
        <w:t>Type:</w:t>
      </w:r>
      <w:r>
        <w:t xml:space="preserve"> Mechanistic</w:t>
      </w:r>
    </w:p>
    <w:p w14:paraId="4E75E62F" w14:textId="77777777" w:rsidR="00340BC2" w:rsidRDefault="00000000">
      <w:pPr>
        <w:spacing w:before="200"/>
        <w:jc w:val="both"/>
      </w:pPr>
      <w:r>
        <w:rPr>
          <w:b/>
          <w:bCs/>
        </w:rPr>
        <w:t>Evidence Strength:</w:t>
      </w:r>
      <w:r>
        <w:t xml:space="preserve"> Moderate--High</w:t>
      </w:r>
    </w:p>
    <w:p w14:paraId="1C0C70D1" w14:textId="77777777" w:rsidR="00340BC2" w:rsidRDefault="00000000">
      <w:pPr>
        <w:spacing w:before="200"/>
        <w:jc w:val="both"/>
      </w:pPr>
      <w:r>
        <w:rPr>
          <w:b/>
          <w:bCs/>
        </w:rPr>
        <w:t>Evidence Base:</w:t>
      </w:r>
      <w:r>
        <w:t xml:space="preserve"> PET imaging studies, glucose transporter research, ketone metabolism studies</w:t>
      </w:r>
    </w:p>
    <w:p w14:paraId="2450D04E" w14:textId="77777777" w:rsidR="00340BC2" w:rsidRDefault="00000000">
      <w:pPr>
        <w:spacing w:before="200"/>
        <w:jc w:val="both"/>
      </w:pPr>
      <w:r>
        <w:rPr>
          <w:b/>
          <w:bCs/>
        </w:rPr>
        <w:t>Citation Mapping:</w:t>
      </w:r>
      <w:r>
        <w:t xml:space="preserve"> See Appendix F, Section(s) F.15</w:t>
      </w:r>
    </w:p>
    <w:p w14:paraId="4B53F3A9" w14:textId="77777777" w:rsidR="00340BC2" w:rsidRDefault="00000000">
      <w:pPr>
        <w:pStyle w:val="Heading1"/>
      </w:pPr>
      <w:r>
        <w:t>E-62</w:t>
      </w:r>
    </w:p>
    <w:p w14:paraId="6EB7847E" w14:textId="77777777" w:rsidR="00340BC2" w:rsidRDefault="00000000">
      <w:pPr>
        <w:jc w:val="both"/>
      </w:pPr>
      <w:r>
        <w:rPr>
          <w:b/>
          <w:bCs/>
        </w:rPr>
        <w:t>Claim:</w:t>
      </w:r>
      <w:r>
        <w:t xml:space="preserve"> Alzheimer's disease is characterized by cerebral glucose hypometabolism that may be partially compensated by ketone utilization.</w:t>
      </w:r>
    </w:p>
    <w:p w14:paraId="1162B768" w14:textId="77777777" w:rsidR="00340BC2" w:rsidRDefault="00000000">
      <w:pPr>
        <w:spacing w:before="200"/>
        <w:jc w:val="both"/>
      </w:pPr>
      <w:r>
        <w:rPr>
          <w:b/>
          <w:bCs/>
        </w:rPr>
        <w:t>Type:</w:t>
      </w:r>
      <w:r>
        <w:t xml:space="preserve"> Mechanistic / Clinical</w:t>
      </w:r>
    </w:p>
    <w:p w14:paraId="1322DE56" w14:textId="77777777" w:rsidR="00340BC2" w:rsidRDefault="00000000">
      <w:pPr>
        <w:spacing w:before="200"/>
        <w:jc w:val="both"/>
      </w:pPr>
      <w:r>
        <w:rPr>
          <w:b/>
          <w:bCs/>
        </w:rPr>
        <w:lastRenderedPageBreak/>
        <w:t>Evidence Strength:</w:t>
      </w:r>
      <w:r>
        <w:t xml:space="preserve"> Moderate--High</w:t>
      </w:r>
    </w:p>
    <w:p w14:paraId="3BB83CA5" w14:textId="77777777" w:rsidR="00340BC2" w:rsidRDefault="00000000">
      <w:pPr>
        <w:spacing w:before="200"/>
        <w:jc w:val="both"/>
      </w:pPr>
      <w:r>
        <w:rPr>
          <w:b/>
          <w:bCs/>
        </w:rPr>
        <w:t>Evidence Base:</w:t>
      </w:r>
      <w:r>
        <w:t xml:space="preserve"> FDG-PET studies, exogenous ketone trials, "type 3 diabetes" hypothesis literature</w:t>
      </w:r>
    </w:p>
    <w:p w14:paraId="25FB50A6" w14:textId="77777777" w:rsidR="00340BC2" w:rsidRDefault="00000000">
      <w:pPr>
        <w:spacing w:before="200"/>
        <w:jc w:val="both"/>
      </w:pPr>
      <w:r>
        <w:rPr>
          <w:b/>
          <w:bCs/>
        </w:rPr>
        <w:t>Citation Mapping:</w:t>
      </w:r>
      <w:r>
        <w:t xml:space="preserve"> See Appendix F, Section(s) F.15</w:t>
      </w:r>
    </w:p>
    <w:p w14:paraId="3551A774" w14:textId="77777777" w:rsidR="00340BC2" w:rsidRDefault="00000000">
      <w:pPr>
        <w:pStyle w:val="Heading1"/>
      </w:pPr>
      <w:r>
        <w:t>E-63</w:t>
      </w:r>
    </w:p>
    <w:p w14:paraId="1891DAFE" w14:textId="77777777" w:rsidR="00340BC2" w:rsidRDefault="00000000">
      <w:pPr>
        <w:jc w:val="both"/>
      </w:pPr>
      <w:r>
        <w:rPr>
          <w:b/>
          <w:bCs/>
        </w:rPr>
        <w:t>Claim:</w:t>
      </w:r>
      <w:r>
        <w:t xml:space="preserve"> The SUSTAIN-6 trial demonstrated a statistically significant increase in retinopathy complications with semaglutide (3.0% vs 1.8% with placebo; HR 1.76; 95% CI, 1.11--2.78; P = .02), a composite endpoint that included vitreous hemorrhage, blindness, or conditions requiring treatment with an intravitreal agent or photocoagulation.</w:t>
      </w:r>
    </w:p>
    <w:p w14:paraId="2E8B118D" w14:textId="77777777" w:rsidR="00340BC2" w:rsidRDefault="00000000">
      <w:pPr>
        <w:spacing w:before="200"/>
        <w:jc w:val="both"/>
      </w:pPr>
      <w:r>
        <w:rPr>
          <w:b/>
          <w:bCs/>
        </w:rPr>
        <w:t>Type:</w:t>
      </w:r>
      <w:r>
        <w:t xml:space="preserve"> Clinical-outcome</w:t>
      </w:r>
    </w:p>
    <w:p w14:paraId="282D0872" w14:textId="77777777" w:rsidR="00340BC2" w:rsidRDefault="00000000">
      <w:pPr>
        <w:spacing w:before="200"/>
        <w:jc w:val="both"/>
      </w:pPr>
      <w:r>
        <w:rPr>
          <w:b/>
          <w:bCs/>
        </w:rPr>
        <w:t>Evidence Strength:</w:t>
      </w:r>
      <w:r>
        <w:t xml:space="preserve"> High</w:t>
      </w:r>
    </w:p>
    <w:p w14:paraId="62A9B60F" w14:textId="77777777" w:rsidR="00340BC2" w:rsidRDefault="00000000">
      <w:pPr>
        <w:pStyle w:val="Heading1"/>
      </w:pPr>
      <w:r>
        <w:t>Language Boundaries</w:t>
      </w:r>
    </w:p>
    <w:p w14:paraId="23BA4394" w14:textId="77777777" w:rsidR="00340BC2" w:rsidRDefault="00000000">
      <w:pPr>
        <w:pStyle w:val="ListParagraph"/>
        <w:numPr>
          <w:ilvl w:val="0"/>
          <w:numId w:val="2"/>
        </w:numPr>
        <w:spacing w:before="60"/>
      </w:pPr>
      <w:r>
        <w:t>Composite endpoint includes need for treatment, not just progression</w:t>
      </w:r>
    </w:p>
    <w:p w14:paraId="3BBF4E59" w14:textId="77777777" w:rsidR="00340BC2" w:rsidRDefault="00000000">
      <w:pPr>
        <w:pStyle w:val="ListParagraph"/>
        <w:numPr>
          <w:ilvl w:val="0"/>
          <w:numId w:val="2"/>
        </w:numPr>
        <w:spacing w:before="60"/>
      </w:pPr>
      <w:r>
        <w:t>Consistent with early worsening phenomenon documented in DCCT and other trials</w:t>
      </w:r>
    </w:p>
    <w:p w14:paraId="352D6E0C" w14:textId="77777777" w:rsidR="00340BC2" w:rsidRDefault="00000000">
      <w:pPr>
        <w:pStyle w:val="ListParagraph"/>
        <w:numPr>
          <w:ilvl w:val="0"/>
          <w:numId w:val="2"/>
        </w:numPr>
        <w:spacing w:before="60"/>
      </w:pPr>
      <w:r>
        <w:t>Does not negate long-term retinal benefits of sustained glycemic control</w:t>
      </w:r>
    </w:p>
    <w:p w14:paraId="2AE3814D" w14:textId="77777777" w:rsidR="00340BC2" w:rsidRDefault="00000000">
      <w:pPr>
        <w:jc w:val="both"/>
      </w:pPr>
      <w:r>
        <w:rPr>
          <w:b/>
          <w:bCs/>
        </w:rPr>
        <w:t>Notes:</w:t>
      </w:r>
      <w:r>
        <w:t xml:space="preserve"> Post-hoc analyses suggest excess risk appeared concentrated in patients with pre-existing retinopathy, poor baseline glycemic control, and large, rapid A1C reductions during the first 16 weeks. Early worsening of diabetic retinopathy is a known phenomenon associated with rapid glycemic improvement from any intervention, including intensive insulin therapy, tight glucose management protocols, GLP-1 agonists, and ketogenic nutrition.</w:t>
      </w:r>
    </w:p>
    <w:p w14:paraId="74E430A0" w14:textId="77777777" w:rsidR="00340BC2" w:rsidRDefault="00000000">
      <w:pPr>
        <w:spacing w:before="200"/>
        <w:jc w:val="both"/>
      </w:pPr>
      <w:r>
        <w:rPr>
          <w:b/>
          <w:bCs/>
        </w:rPr>
        <w:t>Citation Mapping:</w:t>
      </w:r>
      <w:r>
        <w:t xml:space="preserve"> See Appendix F, Section(s) F.7</w:t>
      </w:r>
    </w:p>
    <w:p w14:paraId="712A592B" w14:textId="77777777" w:rsidR="00340BC2" w:rsidRDefault="00000000">
      <w:pPr>
        <w:pStyle w:val="Heading1"/>
      </w:pPr>
      <w:r>
        <w:t>E-64</w:t>
      </w:r>
    </w:p>
    <w:p w14:paraId="00ABA7CF" w14:textId="77777777" w:rsidR="00340BC2" w:rsidRDefault="00000000">
      <w:pPr>
        <w:jc w:val="both"/>
      </w:pPr>
      <w:r>
        <w:rPr>
          <w:b/>
          <w:bCs/>
        </w:rPr>
        <w:t>Claim:</w:t>
      </w:r>
      <w:r>
        <w:t xml:space="preserve"> The early worsening of diabetic retinopathy following rapid glycemic improvement is mediated by a rate-of-change mechanism: chronic hyperglycemia </w:t>
        <w:lastRenderedPageBreak/>
        <w:t>induces compensatory vasodilation in retinal vessels, and rapid normalization causes relative ischemia that can trigger VEGF upregulation, potentially accelerating neovascularization and macular edema. IGF-1 may contribute through pro-angiogenic signaling.</w:t>
      </w:r>
    </w:p>
    <w:p w14:paraId="545153F0" w14:textId="77777777" w:rsidR="00340BC2" w:rsidRDefault="00000000">
      <w:pPr>
        <w:spacing w:before="200"/>
        <w:jc w:val="both"/>
      </w:pPr>
      <w:r>
        <w:rPr>
          <w:b/>
          <w:bCs/>
        </w:rPr>
        <w:t>Type:</w:t>
      </w:r>
      <w:r>
        <w:t xml:space="preserve"> Mechanistic</w:t>
      </w:r>
    </w:p>
    <w:p w14:paraId="4F0E10AE" w14:textId="77777777" w:rsidR="00340BC2" w:rsidRDefault="00000000">
      <w:pPr>
        <w:spacing w:before="200"/>
        <w:jc w:val="both"/>
      </w:pPr>
      <w:r>
        <w:rPr>
          <w:b/>
          <w:bCs/>
        </w:rPr>
        <w:t>Evidence Strength:</w:t>
      </w:r>
      <w:r>
        <w:t xml:space="preserve"> Moderate--High</w:t>
      </w:r>
    </w:p>
    <w:p w14:paraId="69A2B721" w14:textId="77777777" w:rsidR="00340BC2" w:rsidRDefault="00000000">
      <w:pPr>
        <w:pStyle w:val="Heading1"/>
      </w:pPr>
      <w:r>
        <w:t>Language Boundaries</w:t>
      </w:r>
    </w:p>
    <w:p w14:paraId="2258579D" w14:textId="77777777" w:rsidR="00340BC2" w:rsidRDefault="00000000">
      <w:pPr>
        <w:pStyle w:val="ListParagraph"/>
        <w:numPr>
          <w:ilvl w:val="0"/>
          <w:numId w:val="2"/>
        </w:numPr>
        <w:spacing w:before="60"/>
      </w:pPr>
      <w:r>
        <w:t>Mechanism is proposed, not fully established</w:t>
      </w:r>
    </w:p>
    <w:p w14:paraId="3225E7B8" w14:textId="77777777" w:rsidR="00340BC2" w:rsidRDefault="00000000">
      <w:pPr>
        <w:pStyle w:val="ListParagraph"/>
        <w:numPr>
          <w:ilvl w:val="0"/>
          <w:numId w:val="2"/>
        </w:numPr>
        <w:spacing w:before="60"/>
      </w:pPr>
      <w:r>
        <w:t>Applies to any intervention producing rapid glycemic improvement</w:t>
      </w:r>
    </w:p>
    <w:p w14:paraId="733754D5" w14:textId="77777777" w:rsidR="00340BC2" w:rsidRDefault="00000000">
      <w:pPr>
        <w:pStyle w:val="ListParagraph"/>
        <w:numPr>
          <w:ilvl w:val="0"/>
          <w:numId w:val="2"/>
        </w:numPr>
        <w:spacing w:before="60"/>
      </w:pPr>
      <w:r>
        <w:t>Not an argument against metabolic correction, but for coordinated correction with ophthalmologic surveillance</w:t>
      </w:r>
    </w:p>
    <w:p w14:paraId="2CBE6B29" w14:textId="77777777" w:rsidR="00340BC2" w:rsidRDefault="00000000">
      <w:pPr>
        <w:jc w:val="both"/>
      </w:pPr>
      <w:r>
        <w:rPr>
          <w:b/>
          <w:bCs/>
        </w:rPr>
        <w:t>Notes:</w:t>
      </w:r>
      <w:r>
        <w:t xml:space="preserve"> Early worsening is usually transient (6--18 months). Long-term studies consistently show that sustained glycemic control reduces retinopathy progression over years. The early worsening is a transition cost, not a destination, but surveillance is required.</w:t>
      </w:r>
    </w:p>
    <w:p w14:paraId="2021E06F" w14:textId="77777777" w:rsidR="00340BC2" w:rsidRDefault="00000000">
      <w:pPr>
        <w:spacing w:before="200"/>
        <w:jc w:val="both"/>
      </w:pPr>
      <w:r>
        <w:rPr>
          <w:b/>
          <w:bCs/>
        </w:rPr>
        <w:t>Citation Mapping:</w:t>
      </w:r>
      <w:r>
        <w:t xml:space="preserve"> See Appendix F, Section(s) F.7</w:t>
      </w:r>
    </w:p>
    <w:p w14:paraId="4EABC250" w14:textId="77777777" w:rsidR="00340BC2" w:rsidRDefault="00000000">
      <w:pPr>
        <w:pStyle w:val="Heading1"/>
      </w:pPr>
      <w:r>
        <w:t>E-65</w:t>
      </w:r>
    </w:p>
    <w:p w14:paraId="2E4A558C" w14:textId="77777777" w:rsidR="00340BC2" w:rsidRDefault="00000000">
      <w:r>
        <w:rPr>
          <w:b/>
        </w:rPr>
        <w:t>Claim:</w:t>
      </w:r>
      <w:r>
        <w:t xml:space="preserve"> National survey data show metabolic syndrome prevalence approaching 42% among Mexican American adults and approximately 38% among non-Hispanic Black adults, reflecting disproportionate metabolic burden in communities of color.</w:t>
      </w:r>
    </w:p>
    <w:p w14:paraId="74C0B792" w14:textId="77777777" w:rsidR="00340BC2" w:rsidRDefault="00000000">
      <w:r>
        <w:rPr>
          <w:b/>
        </w:rPr>
        <w:t>Type:</w:t>
      </w:r>
      <w:r>
        <w:t xml:space="preserve"> Epidemiologic</w:t>
      </w:r>
    </w:p>
    <w:p w14:paraId="204F4278" w14:textId="77777777" w:rsidR="00340BC2" w:rsidRDefault="00000000">
      <w:r>
        <w:rPr>
          <w:b/>
        </w:rPr>
        <w:t>Evidence Strength:</w:t>
      </w:r>
      <w:r>
        <w:t xml:space="preserve"> High</w:t>
      </w:r>
    </w:p>
    <w:p w14:paraId="1BB5B4C3" w14:textId="77777777" w:rsidR="00340BC2" w:rsidRDefault="00000000">
      <w:r>
        <w:rPr>
          <w:b/>
        </w:rPr>
        <w:t>Evidence Base:</w:t>
      </w:r>
      <w:r>
        <w:t xml:space="preserve"> NHANES population surveys, multiple analysis periods</w:t>
      </w:r>
    </w:p>
    <w:p w14:paraId="24E4550A" w14:textId="77777777" w:rsidR="00340BC2" w:rsidRDefault="00000000">
      <w:r>
        <w:rPr>
          <w:b/>
        </w:rPr>
        <w:t>Citation Mapping:</w:t>
      </w:r>
      <w:r>
        <w:t xml:space="preserve"> See Appendix F, Section(s) F.12</w:t>
      </w:r>
    </w:p>
    <w:p w14:paraId="669F1CF3" w14:textId="77777777" w:rsidR="00340BC2" w:rsidRDefault="00000000">
      <w:pPr>
        <w:pStyle w:val="Heading1"/>
      </w:pPr>
      <w:r>
        <w:t>E-66</w:t>
      </w:r>
    </w:p>
    <w:p w14:paraId="01267896" w14:textId="77777777" w:rsidR="00340BC2" w:rsidRDefault="00000000">
      <w:r>
        <w:rPr>
          <w:b/>
        </w:rPr>
        <w:t>Claim:</w:t>
      </w:r>
      <w:r>
        <w:t xml:space="preserve"> The overall age-adjusted mortality rate for type 2 diabetes more than doubled from 21.54 per 100,000 in 1999 to 53.95 per 100,000 in 2023. Hispanic </w:t>
        <w:lastRenderedPageBreak/>
        <w:t>or Latino populations had the highest rate at 69.69, followed by non-Hispanic Black Americans at 65.45 and non-Hispanic white Americans at 49.98.</w:t>
      </w:r>
    </w:p>
    <w:p w14:paraId="3BECD1F5" w14:textId="77777777" w:rsidR="00340BC2" w:rsidRDefault="00000000">
      <w:r>
        <w:rPr>
          <w:b/>
        </w:rPr>
        <w:t>Type:</w:t>
      </w:r>
      <w:r>
        <w:t xml:space="preserve"> Epidemiologic</w:t>
      </w:r>
    </w:p>
    <w:p w14:paraId="073F7814" w14:textId="77777777" w:rsidR="00340BC2" w:rsidRDefault="00000000">
      <w:r>
        <w:rPr>
          <w:b/>
        </w:rPr>
        <w:t>Evidence Strength:</w:t>
      </w:r>
      <w:r>
        <w:t xml:space="preserve"> High</w:t>
      </w:r>
    </w:p>
    <w:p w14:paraId="28EE4E90" w14:textId="77777777" w:rsidR="00340BC2" w:rsidRDefault="00000000">
      <w:r>
        <w:rPr>
          <w:b/>
        </w:rPr>
        <w:t>Evidence Base:</w:t>
      </w:r>
      <w:r>
        <w:t xml:space="preserve"> CDC WONDER database; Ahmed et al. 2025, JACC Advances</w:t>
      </w:r>
    </w:p>
    <w:p w14:paraId="5948C619" w14:textId="77777777" w:rsidR="00340BC2" w:rsidRDefault="00000000">
      <w:r>
        <w:rPr>
          <w:b/>
        </w:rPr>
        <w:t>Citation Mapping:</w:t>
      </w:r>
      <w:r>
        <w:t xml:space="preserve"> See Appendix F, Section(s) F.12</w:t>
      </w:r>
    </w:p>
    <w:p w14:paraId="57E49A7A" w14:textId="77777777" w:rsidR="00340BC2" w:rsidRDefault="00000000">
      <w:pPr>
        <w:pStyle w:val="Heading1"/>
      </w:pPr>
      <w:r>
        <w:t>E-67</w:t>
      </w:r>
    </w:p>
    <w:p w14:paraId="78071BA6" w14:textId="77777777" w:rsidR="00340BC2" w:rsidRDefault="00000000">
      <w:r>
        <w:rPr>
          <w:b/>
        </w:rPr>
        <w:t>Claim:</w:t>
      </w:r>
      <w:r>
        <w:t xml:space="preserve"> Black Americans face diabetes-related lower-extremity amputations at two to four times the rate of white Americans, and end-stage renal disease at approximately four times the incidence.</w:t>
      </w:r>
    </w:p>
    <w:p w14:paraId="43BCADA2" w14:textId="77777777" w:rsidR="00340BC2" w:rsidRDefault="00000000">
      <w:r>
        <w:rPr>
          <w:b/>
        </w:rPr>
        <w:t>Type:</w:t>
      </w:r>
      <w:r>
        <w:t xml:space="preserve"> Epidemiologic / Clinical</w:t>
      </w:r>
    </w:p>
    <w:p w14:paraId="385E0322" w14:textId="77777777" w:rsidR="00340BC2" w:rsidRDefault="00000000">
      <w:r>
        <w:rPr>
          <w:b/>
        </w:rPr>
        <w:t>Evidence Strength:</w:t>
      </w:r>
      <w:r>
        <w:t xml:space="preserve"> High</w:t>
      </w:r>
    </w:p>
    <w:p w14:paraId="09AAFCAE" w14:textId="77777777" w:rsidR="00340BC2" w:rsidRDefault="00000000">
      <w:r>
        <w:rPr>
          <w:b/>
        </w:rPr>
        <w:t>Evidence Base:</w:t>
      </w:r>
      <w:r>
        <w:t xml:space="preserve"> CDC Diabetes Surveillance System, NIDDK Kidney Disease Statistics, USRDS Annual Data Report</w:t>
      </w:r>
    </w:p>
    <w:p w14:paraId="7FAC6411" w14:textId="77777777" w:rsidR="00340BC2" w:rsidRDefault="00000000">
      <w:r>
        <w:rPr>
          <w:b/>
        </w:rPr>
        <w:t>Citation Mapping:</w:t>
      </w:r>
      <w:r>
        <w:t xml:space="preserve"> See Appendix F, Section(s) F.12</w:t>
      </w:r>
    </w:p>
    <w:p w14:paraId="1387DD9C" w14:textId="77777777" w:rsidR="00340BC2" w:rsidRDefault="00000000">
      <w:pPr>
        <w:pStyle w:val="Heading1"/>
      </w:pPr>
      <w:r>
        <w:t>E-68</w:t>
      </w:r>
    </w:p>
    <w:p w14:paraId="5E4D5FB2" w14:textId="77777777" w:rsidR="00340BC2" w:rsidRDefault="00000000">
      <w:r>
        <w:rPr>
          <w:b/>
        </w:rPr>
        <w:t>Claim:</w:t>
      </w:r>
      <w:r>
        <w:t xml:space="preserve"> The TCF7L2 rs7903146 risk variant, present in roughly 30% of the general population, confers a 1.45-fold increased risk for type 2 diabetes, with the association confirmed across European, African American, and Hispanic populations.</w:t>
      </w:r>
    </w:p>
    <w:p w14:paraId="595D0814" w14:textId="77777777" w:rsidR="00340BC2" w:rsidRDefault="00000000">
      <w:r>
        <w:rPr>
          <w:b/>
        </w:rPr>
        <w:t>Type:</w:t>
      </w:r>
      <w:r>
        <w:t xml:space="preserve"> Genetic / Epidemiologic</w:t>
      </w:r>
    </w:p>
    <w:p w14:paraId="610BCDFE" w14:textId="77777777" w:rsidR="00340BC2" w:rsidRDefault="00000000">
      <w:r>
        <w:rPr>
          <w:b/>
        </w:rPr>
        <w:t>Evidence Strength:</w:t>
      </w:r>
      <w:r>
        <w:t xml:space="preserve"> High</w:t>
      </w:r>
    </w:p>
    <w:p w14:paraId="1CEA643D" w14:textId="77777777" w:rsidR="00340BC2" w:rsidRDefault="00000000">
      <w:r>
        <w:rPr>
          <w:b/>
        </w:rPr>
        <w:t>Evidence Base:</w:t>
      </w:r>
      <w:r>
        <w:t xml:space="preserve"> GWAS discovery and replication studies across multiple ancestries</w:t>
      </w:r>
    </w:p>
    <w:p w14:paraId="67143F44" w14:textId="77777777" w:rsidR="00340BC2" w:rsidRDefault="00000000">
      <w:r>
        <w:rPr>
          <w:b/>
        </w:rPr>
        <w:t>Citation Mapping:</w:t>
      </w:r>
      <w:r>
        <w:t xml:space="preserve"> See Appendix F, Section(s) F.11</w:t>
      </w:r>
    </w:p>
    <w:p w14:paraId="0ECBFC02" w14:textId="77777777" w:rsidR="00340BC2" w:rsidRDefault="00000000">
      <w:pPr>
        <w:pStyle w:val="Heading1"/>
      </w:pPr>
      <w:r>
        <w:t>E-69</w:t>
      </w:r>
    </w:p>
    <w:p w14:paraId="428F8635" w14:textId="77777777" w:rsidR="00340BC2" w:rsidRDefault="00000000">
      <w:r>
        <w:rPr>
          <w:b/>
        </w:rPr>
        <w:t>Claim:</w:t>
      </w:r>
      <w:r>
        <w:t xml:space="preserve"> Subsidized processed carbohydrates are dramatically cheaper per calorie than unsubsidized whole foods, with research consistently showing that healthier diets cost more.</w:t>
      </w:r>
    </w:p>
    <w:p w14:paraId="171C82E9" w14:textId="77777777" w:rsidR="00340BC2" w:rsidRDefault="00000000">
      <w:r>
        <w:rPr>
          <w:b/>
        </w:rPr>
        <w:t>Type:</w:t>
      </w:r>
      <w:r>
        <w:t xml:space="preserve"> Systems-incentive / Epidemiologic</w:t>
      </w:r>
    </w:p>
    <w:p w14:paraId="3BD6EE73" w14:textId="77777777" w:rsidR="00340BC2" w:rsidRDefault="00000000">
      <w:r>
        <w:rPr>
          <w:b/>
        </w:rPr>
        <w:t>Evidence Strength:</w:t>
      </w:r>
      <w:r>
        <w:t xml:space="preserve"> Moderate</w:t>
      </w:r>
    </w:p>
    <w:p w14:paraId="3F868865" w14:textId="77777777" w:rsidR="00340BC2" w:rsidRDefault="00000000">
      <w:r>
        <w:rPr>
          <w:b/>
        </w:rPr>
        <w:lastRenderedPageBreak/>
        <w:t>Evidence Base:</w:t>
      </w:r>
      <w:r>
        <w:t xml:space="preserve"> Systematic reviews of diet cost, USDA food plan cost data</w:t>
      </w:r>
    </w:p>
    <w:p w14:paraId="272B63A2" w14:textId="77777777" w:rsidR="00340BC2" w:rsidRDefault="00000000">
      <w:r>
        <w:rPr>
          <w:b/>
        </w:rPr>
        <w:t>Notes:</w:t>
      </w:r>
      <w:r>
        <w:t xml:space="preserve"> Magnitude of cost differential varies by region, household size, and dietary pattern.</w:t>
      </w:r>
    </w:p>
    <w:p w14:paraId="469A08A1" w14:textId="77777777" w:rsidR="00340BC2" w:rsidRDefault="00000000">
      <w:r>
        <w:rPr>
          <w:b/>
        </w:rPr>
        <w:t>Citation Mapping:</w:t>
      </w:r>
      <w:r>
        <w:t xml:space="preserve"> See Appendix F, Section(s) F.13</w:t>
      </w:r>
    </w:p>
    <w:p w14:paraId="1E49ECF8" w14:textId="77777777" w:rsidR="00340BC2" w:rsidRDefault="00000000">
      <w:pPr>
        <w:pStyle w:val="Heading1"/>
      </w:pPr>
      <w:r>
        <w:t>E-70</w:t>
      </w:r>
    </w:p>
    <w:p w14:paraId="1514AFD3" w14:textId="77777777" w:rsidR="00340BC2" w:rsidRDefault="00000000">
      <w:r>
        <w:rPr>
          <w:b/>
        </w:rPr>
        <w:t>Claim:</w:t>
      </w:r>
      <w:r>
        <w:t xml:space="preserve"> Black children view 70 to 86% more food-related advertisements than white children, with disparities growing over time.</w:t>
      </w:r>
    </w:p>
    <w:p w14:paraId="55AA014D" w14:textId="77777777" w:rsidR="00340BC2" w:rsidRDefault="00000000">
      <w:r>
        <w:rPr>
          <w:b/>
        </w:rPr>
        <w:t>Type:</w:t>
      </w:r>
      <w:r>
        <w:t xml:space="preserve"> Systems / Epidemiologic</w:t>
      </w:r>
    </w:p>
    <w:p w14:paraId="7600C408" w14:textId="77777777" w:rsidR="00340BC2" w:rsidRDefault="00000000">
      <w:r>
        <w:rPr>
          <w:b/>
        </w:rPr>
        <w:t>Evidence Strength:</w:t>
      </w:r>
      <w:r>
        <w:t xml:space="preserve"> High</w:t>
      </w:r>
    </w:p>
    <w:p w14:paraId="166D57AD" w14:textId="77777777" w:rsidR="00340BC2" w:rsidRDefault="00000000">
      <w:r>
        <w:rPr>
          <w:b/>
        </w:rPr>
        <w:t>Evidence Base:</w:t>
      </w:r>
      <w:r>
        <w:t xml:space="preserve"> UConn Rudd Center for Food Policy longitudinal advertising surveillance data</w:t>
      </w:r>
    </w:p>
    <w:p w14:paraId="7BC9498E" w14:textId="77777777" w:rsidR="00340BC2" w:rsidRDefault="00000000">
      <w:r>
        <w:rPr>
          <w:b/>
        </w:rPr>
        <w:t>Citation Mapping:</w:t>
      </w:r>
      <w:r>
        <w:t xml:space="preserve"> See Appendix F, Section(s) F.13</w:t>
      </w:r>
    </w:p>
    <w:p w14:paraId="7417D840" w14:textId="77777777" w:rsidR="00340BC2" w:rsidRDefault="00000000">
      <w:pPr>
        <w:pStyle w:val="Heading1"/>
      </w:pPr>
      <w:r>
        <w:t>E-71</w:t>
      </w:r>
    </w:p>
    <w:p w14:paraId="51CFFF44" w14:textId="77777777" w:rsidR="00340BC2" w:rsidRDefault="00000000">
      <w:r>
        <w:rPr>
          <w:b/>
        </w:rPr>
        <w:t>Claim:</w:t>
      </w:r>
      <w:r>
        <w:t xml:space="preserve"> Black Americans bear disproportionately higher exposure to fine particulate air pollution across nearly all emission source types, a disparity that persists across income levels.</w:t>
      </w:r>
    </w:p>
    <w:p w14:paraId="3380C2D3" w14:textId="77777777" w:rsidR="00340BC2" w:rsidRDefault="00000000">
      <w:r>
        <w:rPr>
          <w:b/>
        </w:rPr>
        <w:t>Type:</w:t>
      </w:r>
      <w:r>
        <w:t xml:space="preserve"> Epidemiologic / Environmental</w:t>
      </w:r>
    </w:p>
    <w:p w14:paraId="6DBEDA70" w14:textId="77777777" w:rsidR="00340BC2" w:rsidRDefault="00000000">
      <w:r>
        <w:rPr>
          <w:b/>
        </w:rPr>
        <w:t>Evidence Strength:</w:t>
      </w:r>
      <w:r>
        <w:t xml:space="preserve"> High</w:t>
      </w:r>
    </w:p>
    <w:p w14:paraId="4DCEE6F5" w14:textId="77777777" w:rsidR="00340BC2" w:rsidRDefault="00000000">
      <w:r>
        <w:rPr>
          <w:b/>
        </w:rPr>
        <w:t>Evidence Base:</w:t>
      </w:r>
      <w:r>
        <w:t xml:space="preserve"> National PM2.5 exposure analyses, pollution equity studies</w:t>
      </w:r>
    </w:p>
    <w:p w14:paraId="157F30FA" w14:textId="77777777" w:rsidR="00340BC2" w:rsidRDefault="00000000">
      <w:r>
        <w:rPr>
          <w:b/>
        </w:rPr>
        <w:t>Citation Mapping:</w:t>
      </w:r>
      <w:r>
        <w:t xml:space="preserve"> See Appendix F, Section(s) F.12</w:t>
      </w:r>
    </w:p>
    <w:p w14:paraId="744009B0" w14:textId="77777777" w:rsidR="00224499" w:rsidRDefault="00224499"/>
    <w:p w14:paraId="40B7BA59" w14:textId="77777777" w:rsidR="00224499" w:rsidRDefault="00224499" w:rsidP="00224499">
      <w:pPr>
        <w:spacing w:before="300" w:after="100"/>
      </w:pPr>
      <w:r>
        <w:rPr>
          <w:rFonts w:ascii="Arial" w:eastAsia="Arial" w:hAnsi="Arial" w:cs="Arial"/>
          <w:b/>
          <w:bCs/>
          <w:sz w:val="22"/>
          <w:szCs w:val="22"/>
        </w:rPr>
        <w:t>E-72</w:t>
      </w:r>
    </w:p>
    <w:p w14:paraId="6374B97A" w14:textId="77777777" w:rsidR="00224499" w:rsidRDefault="00224499" w:rsidP="00224499">
      <w:pPr>
        <w:spacing w:after="60"/>
      </w:pPr>
      <w:r>
        <w:rPr>
          <w:b/>
          <w:bCs/>
        </w:rPr>
        <w:t xml:space="preserve">Claim: </w:t>
      </w:r>
      <w:r>
        <w:t>Obesity and type 2 diabetes are independent risk factors for multiple cancer types, and the metabolic environment—characterized by hyperinsulinemia, chronic inflammation, and mitochondrial dysfunction—contributes to the terrain in which malignancy is more likely to develop.</w:t>
      </w:r>
    </w:p>
    <w:p w14:paraId="0FFC72A9" w14:textId="77777777" w:rsidR="00224499" w:rsidRDefault="00224499" w:rsidP="00224499">
      <w:pPr>
        <w:spacing w:after="60"/>
      </w:pPr>
      <w:r>
        <w:rPr>
          <w:b/>
          <w:bCs/>
        </w:rPr>
        <w:t xml:space="preserve">Type: </w:t>
      </w:r>
      <w:r>
        <w:t>Mechanistic / Epidemiologic</w:t>
      </w:r>
    </w:p>
    <w:p w14:paraId="62C7821A" w14:textId="77777777" w:rsidR="00224499" w:rsidRDefault="00224499" w:rsidP="00224499">
      <w:pPr>
        <w:spacing w:after="60"/>
      </w:pPr>
      <w:r>
        <w:rPr>
          <w:b/>
          <w:bCs/>
        </w:rPr>
        <w:t xml:space="preserve">Evidence Strength: </w:t>
      </w:r>
      <w:r>
        <w:t>High</w:t>
      </w:r>
    </w:p>
    <w:p w14:paraId="1AD70EF1" w14:textId="77777777" w:rsidR="00224499" w:rsidRDefault="00224499" w:rsidP="00224499">
      <w:pPr>
        <w:spacing w:after="60"/>
      </w:pPr>
      <w:r>
        <w:rPr>
          <w:b/>
          <w:bCs/>
        </w:rPr>
        <w:t xml:space="preserve">Evidence Base: </w:t>
      </w:r>
      <w:r>
        <w:t>IARC consensus review (2016), multiple meta-analyses (2021, 2025), Warburg effect physiology</w:t>
      </w:r>
    </w:p>
    <w:p w14:paraId="4764F1D1" w14:textId="77777777" w:rsidR="00224499" w:rsidRDefault="00224499" w:rsidP="00224499">
      <w:pPr>
        <w:spacing w:after="60"/>
      </w:pPr>
      <w:r>
        <w:rPr>
          <w:b/>
          <w:bCs/>
        </w:rPr>
        <w:lastRenderedPageBreak/>
        <w:t xml:space="preserve">Notes: </w:t>
      </w:r>
      <w:r>
        <w:t>Claim is bounded: metabolic environment contributes to risk terrain, not stated as sole cause. Ketogenic diet framed as adjunctive investigation, not cure.</w:t>
      </w:r>
    </w:p>
    <w:p w14:paraId="069DB699" w14:textId="77777777" w:rsidR="00224499" w:rsidRDefault="00224499" w:rsidP="00224499">
      <w:pPr>
        <w:spacing w:after="120"/>
      </w:pPr>
      <w:r>
        <w:rPr>
          <w:b/>
          <w:bCs/>
        </w:rPr>
        <w:t xml:space="preserve">Citation Mapping: </w:t>
      </w:r>
      <w:r>
        <w:t>See Appendix F, Section(s) F.17</w:t>
      </w:r>
    </w:p>
    <w:p w14:paraId="6B72ACA0" w14:textId="77777777" w:rsidR="00224499" w:rsidRDefault="00224499" w:rsidP="00224499">
      <w:pPr>
        <w:spacing w:before="300" w:after="100"/>
      </w:pPr>
      <w:r>
        <w:rPr>
          <w:rFonts w:ascii="Arial" w:eastAsia="Arial" w:hAnsi="Arial" w:cs="Arial"/>
          <w:b/>
          <w:bCs/>
          <w:sz w:val="22"/>
          <w:szCs w:val="22"/>
        </w:rPr>
        <w:t>E-73</w:t>
      </w:r>
    </w:p>
    <w:p w14:paraId="295553F0" w14:textId="77777777" w:rsidR="00224499" w:rsidRDefault="00224499" w:rsidP="00224499">
      <w:pPr>
        <w:spacing w:after="60"/>
      </w:pPr>
      <w:r>
        <w:rPr>
          <w:b/>
          <w:bCs/>
        </w:rPr>
        <w:t xml:space="preserve">Claim: </w:t>
      </w:r>
      <w:r>
        <w:t>Alcohol disrupts the gut-liver axis through direct intestinal barrier damage, NAD+ depletion, impaired hepatic insulin clearance, and acceleration of hepatic steatosis, compounding metabolic dysfunction in patients with existing insulin resistance.</w:t>
      </w:r>
    </w:p>
    <w:p w14:paraId="4981E18C" w14:textId="77777777" w:rsidR="00224499" w:rsidRDefault="00224499" w:rsidP="00224499">
      <w:pPr>
        <w:spacing w:after="60"/>
      </w:pPr>
      <w:r>
        <w:rPr>
          <w:b/>
          <w:bCs/>
        </w:rPr>
        <w:t xml:space="preserve">Type: </w:t>
      </w:r>
      <w:r>
        <w:t>Mechanistic / Clinical-practice</w:t>
      </w:r>
    </w:p>
    <w:p w14:paraId="16B69D04" w14:textId="77777777" w:rsidR="00224499" w:rsidRDefault="00224499" w:rsidP="00224499">
      <w:pPr>
        <w:spacing w:after="60"/>
      </w:pPr>
      <w:r>
        <w:rPr>
          <w:b/>
          <w:bCs/>
        </w:rPr>
        <w:t xml:space="preserve">Evidence Strength: </w:t>
      </w:r>
      <w:r>
        <w:t>High</w:t>
      </w:r>
    </w:p>
    <w:p w14:paraId="76B25E2B" w14:textId="77777777" w:rsidR="00224499" w:rsidRDefault="00224499" w:rsidP="00224499">
      <w:pPr>
        <w:spacing w:after="60"/>
      </w:pPr>
      <w:r>
        <w:rPr>
          <w:b/>
          <w:bCs/>
        </w:rPr>
        <w:t xml:space="preserve">Evidence Base: </w:t>
      </w:r>
      <w:r>
        <w:t>Hepatic physiology, alcohol metabolism pathways, gut permeability studies, NAD+ biochemistry</w:t>
      </w:r>
    </w:p>
    <w:p w14:paraId="33D38EE8" w14:textId="77777777" w:rsidR="00224499" w:rsidRDefault="00224499" w:rsidP="00224499">
      <w:pPr>
        <w:spacing w:after="60"/>
      </w:pPr>
      <w:r>
        <w:rPr>
          <w:b/>
          <w:bCs/>
        </w:rPr>
        <w:t xml:space="preserve">Notes: </w:t>
      </w:r>
      <w:r>
        <w:t>Claim framed as “compounding variable,” not absolute prohibition. Contextualizes alcohol within the gut-mitochondria axis framework established in Chapter 12.</w:t>
      </w:r>
    </w:p>
    <w:p w14:paraId="561E3AB7" w14:textId="77777777" w:rsidR="00224499" w:rsidRDefault="00224499" w:rsidP="00224499">
      <w:pPr>
        <w:spacing w:after="120"/>
      </w:pPr>
      <w:r>
        <w:rPr>
          <w:b/>
          <w:bCs/>
        </w:rPr>
        <w:t xml:space="preserve">Citation Mapping: </w:t>
      </w:r>
      <w:r>
        <w:t>See Appendix F, Section(s) F.18</w:t>
      </w:r>
    </w:p>
    <w:p w14:paraId="60BF4F8D" w14:textId="77777777" w:rsidR="00224499" w:rsidRDefault="00224499" w:rsidP="00224499">
      <w:pPr>
        <w:spacing w:before="300" w:after="100"/>
      </w:pPr>
      <w:r>
        <w:rPr>
          <w:rFonts w:ascii="Arial" w:eastAsia="Arial" w:hAnsi="Arial" w:cs="Arial"/>
          <w:b/>
          <w:bCs/>
          <w:sz w:val="22"/>
          <w:szCs w:val="22"/>
        </w:rPr>
        <w:t>E-74</w:t>
      </w:r>
    </w:p>
    <w:p w14:paraId="265BC298" w14:textId="77777777" w:rsidR="00224499" w:rsidRDefault="00224499" w:rsidP="00224499">
      <w:pPr>
        <w:spacing w:after="60"/>
      </w:pPr>
      <w:r>
        <w:rPr>
          <w:b/>
          <w:bCs/>
        </w:rPr>
        <w:t xml:space="preserve">Claim: </w:t>
      </w:r>
      <w:r>
        <w:t>Pediatric Type 2 diabetes and adolescent insulin resistance are increasing at rates that reflect the same food supply and convenience architecture driving adult metabolic disease.</w:t>
      </w:r>
    </w:p>
    <w:p w14:paraId="29450A0D" w14:textId="77777777" w:rsidR="00224499" w:rsidRDefault="00224499" w:rsidP="00224499">
      <w:pPr>
        <w:spacing w:after="60"/>
      </w:pPr>
      <w:r>
        <w:rPr>
          <w:b/>
          <w:bCs/>
        </w:rPr>
        <w:t xml:space="preserve">Type: </w:t>
      </w:r>
      <w:r>
        <w:t>Epidemiologic / Systems-incentive</w:t>
      </w:r>
    </w:p>
    <w:p w14:paraId="589F5D7A" w14:textId="77777777" w:rsidR="00224499" w:rsidRDefault="00224499" w:rsidP="00224499">
      <w:pPr>
        <w:spacing w:after="60"/>
      </w:pPr>
      <w:r>
        <w:rPr>
          <w:b/>
          <w:bCs/>
        </w:rPr>
        <w:t xml:space="preserve">Evidence Strength: </w:t>
      </w:r>
      <w:r>
        <w:t>High</w:t>
      </w:r>
    </w:p>
    <w:p w14:paraId="74D1F978" w14:textId="77777777" w:rsidR="00224499" w:rsidRDefault="00224499" w:rsidP="00224499">
      <w:pPr>
        <w:spacing w:after="60"/>
      </w:pPr>
      <w:r>
        <w:rPr>
          <w:b/>
          <w:bCs/>
        </w:rPr>
        <w:t xml:space="preserve">Evidence Base: </w:t>
      </w:r>
      <w:r>
        <w:t>CDC prevalence data, pediatric endocrinology literature, SEARCH for Diabetes in Youth study</w:t>
      </w:r>
    </w:p>
    <w:p w14:paraId="365C5CDE" w14:textId="77777777" w:rsidR="00224499" w:rsidRDefault="00224499" w:rsidP="00224499">
      <w:pPr>
        <w:spacing w:after="60"/>
      </w:pPr>
      <w:r>
        <w:rPr>
          <w:b/>
          <w:bCs/>
        </w:rPr>
        <w:t xml:space="preserve">Notes: </w:t>
      </w:r>
      <w:r>
        <w:t>Acknowledged as outside the scope of the book’s adult medicine focus. Included as contextual evidence of the escalating metabolic pipeline.</w:t>
      </w:r>
    </w:p>
    <w:p w14:paraId="10637643" w14:textId="77777777" w:rsidR="00224499" w:rsidRDefault="00224499" w:rsidP="00224499">
      <w:pPr>
        <w:spacing w:after="120"/>
      </w:pPr>
      <w:r>
        <w:rPr>
          <w:b/>
          <w:bCs/>
        </w:rPr>
        <w:t xml:space="preserve">Citation Mapping: </w:t>
      </w:r>
      <w:r>
        <w:t>See Appendix F, Section(s) F.17, F.12</w:t>
      </w:r>
    </w:p>
    <w:p w14:paraId="12757FE2" w14:textId="77777777" w:rsidR="00224499" w:rsidRDefault="00224499"/>
    <w:p w14:paraId="31B75001" w14:textId="77777777" w:rsidR="00224499" w:rsidRDefault="00224499" w:rsidP="00224499">
      <w:pPr>
        <w:spacing w:before="300" w:after="100"/>
      </w:pPr>
      <w:r>
        <w:rPr>
          <w:rFonts w:ascii="Arial" w:eastAsia="Arial" w:hAnsi="Arial" w:cs="Arial"/>
          <w:b/>
          <w:bCs/>
          <w:sz w:val="22"/>
          <w:szCs w:val="22"/>
        </w:rPr>
        <w:t>E-75</w:t>
      </w:r>
    </w:p>
    <w:p w14:paraId="31B75002" w14:textId="77777777" w:rsidR="00224499" w:rsidRDefault="00224499" w:rsidP="00224499">
      <w:pPr>
        <w:spacing w:after="60"/>
      </w:pPr>
      <w:r>
        <w:rPr>
          <w:b/>
          <w:bCs/>
        </w:rPr>
        <w:t xml:space="preserve">Claim: </w:t>
      </w:r>
      <w:r>
        <w:t>Dietary saturated fat preferentially increases large, buoyant LDL particles rather than small, dense atherogenic LDL particles, and intake of saturated fat is not significantly associated with increased risk of coronary heart disease or cardiovascular disease in prospective cohort studies.</w:t>
      </w:r>
    </w:p>
    <w:p w14:paraId="31B75003" w14:textId="77777777" w:rsidR="00224499" w:rsidRDefault="00224499" w:rsidP="00224499">
      <w:pPr>
        <w:spacing w:after="60"/>
      </w:pPr>
      <w:r>
        <w:rPr>
          <w:b/>
          <w:bCs/>
        </w:rPr>
        <w:t xml:space="preserve">Type: </w:t>
      </w:r>
      <w:r>
        <w:t>Clinical-outcome / Mechanistic</w:t>
      </w:r>
    </w:p>
    <w:p w14:paraId="31B75004" w14:textId="77777777" w:rsidR="00224499" w:rsidRDefault="00224499" w:rsidP="00224499">
      <w:pPr>
        <w:spacing w:after="60"/>
      </w:pPr>
      <w:r>
        <w:rPr>
          <w:b/>
          <w:bCs/>
        </w:rPr>
        <w:t xml:space="preserve">Evidence Strength: </w:t>
      </w:r>
      <w:r>
        <w:t>Moderate–High</w:t>
      </w:r>
    </w:p>
    <w:p w14:paraId="31B75005" w14:textId="77777777" w:rsidR="00224499" w:rsidRDefault="00224499" w:rsidP="00224499">
      <w:pPr>
        <w:spacing w:after="60"/>
      </w:pPr>
      <w:r>
        <w:rPr>
          <w:b/>
          <w:bCs/>
        </w:rPr>
        <w:t xml:space="preserve">Evidence Base: </w:t>
      </w:r>
      <w:r>
        <w:t>Meta-analysis of 21 prospective cohorts (347,747 subjects), controlled dietary studies with LDL subfraction analysis</w:t>
      </w:r>
    </w:p>
    <w:p w14:paraId="31B75006" w14:textId="77777777" w:rsidR="00224499" w:rsidRDefault="00224499" w:rsidP="00224499">
      <w:pPr>
        <w:spacing w:after="60"/>
      </w:pPr>
      <w:r>
        <w:rPr>
          <w:b/>
          <w:bCs/>
        </w:rPr>
        <w:t xml:space="preserve">Notes: </w:t>
      </w:r>
      <w:r>
        <w:t>Findings are from observational and controlled feeding studies, not large-scale RCTs of cardiovascular endpoints. The relationship between LDL particle size and cardiovascular risk remains actively debated. Does not claim saturated fat is universally safe—context (e.g., concurrent carbohydrate intake) matters.</w:t>
      </w:r>
    </w:p>
    <w:p w14:paraId="31B75007" w14:textId="77777777" w:rsidR="00224499" w:rsidRDefault="00224499" w:rsidP="00224499">
      <w:pPr>
        <w:spacing w:after="120"/>
      </w:pPr>
      <w:r>
        <w:rPr>
          <w:b/>
          <w:bCs/>
        </w:rPr>
        <w:t xml:space="preserve">Citation Mapping: </w:t>
      </w:r>
      <w:r>
        <w:t>See Appendix F, Section(s) F.16</w:t>
      </w:r>
    </w:p>
    <w:p w14:paraId="31B75008" w14:textId="77777777" w:rsidR="00224499" w:rsidRDefault="00224499"/>
    <w:p w14:paraId="31B75010" w14:textId="77777777" w:rsidR="00224499" w:rsidRDefault="00224499" w:rsidP="00224499">
      <w:pPr>
        <w:spacing w:before="300" w:after="100"/>
      </w:pPr>
      <w:r>
        <w:rPr>
          <w:rFonts w:ascii="Arial" w:eastAsia="Arial" w:hAnsi="Arial" w:cs="Arial"/>
          <w:b/>
          <w:bCs/>
          <w:sz w:val="22"/>
          <w:szCs w:val="22"/>
        </w:rPr>
        <w:t>E-76</w:t>
      </w:r>
    </w:p>
    <w:p w14:paraId="31B75011" w14:textId="77777777" w:rsidR="00224499" w:rsidRDefault="00224499" w:rsidP="00224499">
      <w:pPr>
        <w:spacing w:after="60"/>
      </w:pPr>
      <w:r>
        <w:rPr>
          <w:b/>
          <w:bCs/>
        </w:rPr>
        <w:t xml:space="preserve">Claim: </w:t>
      </w:r>
      <w:r>
        <w:t>In some meta-analyses of primary prevention populations, statin therapy did not demonstrate a statistically significant reduction in all-cause mortality, and the estimated life expectancy benefit in low-risk primary prevention populations has been characterized as modest (days to weeks).</w:t>
      </w:r>
    </w:p>
    <w:p w14:paraId="31B75012" w14:textId="77777777" w:rsidR="00224499" w:rsidRDefault="00224499" w:rsidP="00224499">
      <w:pPr>
        <w:spacing w:after="60"/>
      </w:pPr>
      <w:r>
        <w:rPr>
          <w:b/>
          <w:bCs/>
        </w:rPr>
        <w:t xml:space="preserve">Type: </w:t>
      </w:r>
      <w:r>
        <w:t>Clinical-outcome</w:t>
      </w:r>
    </w:p>
    <w:p w14:paraId="31B75013" w14:textId="77777777" w:rsidR="00224499" w:rsidRDefault="00224499" w:rsidP="00224499">
      <w:pPr>
        <w:spacing w:after="60"/>
      </w:pPr>
      <w:r>
        <w:rPr>
          <w:b/>
          <w:bCs/>
        </w:rPr>
        <w:t xml:space="preserve">Evidence Strength: </w:t>
      </w:r>
      <w:r>
        <w:t>Moderate (contested)</w:t>
      </w:r>
    </w:p>
    <w:p w14:paraId="31B75014" w14:textId="77777777" w:rsidR="00224499" w:rsidRDefault="00224499" w:rsidP="00224499">
      <w:pPr>
        <w:spacing w:after="60"/>
      </w:pPr>
      <w:r>
        <w:rPr>
          <w:b/>
          <w:bCs/>
        </w:rPr>
        <w:t xml:space="preserve">Evidence Base: </w:t>
      </w:r>
      <w:r>
        <w:t>Meta-analysis of 11 randomized controlled trials (65,229 participants)</w:t>
      </w:r>
    </w:p>
    <w:p w14:paraId="31B75015" w14:textId="77777777" w:rsidR="00224499" w:rsidRDefault="00224499" w:rsidP="00224499">
      <w:pPr>
        <w:spacing w:after="60"/>
      </w:pPr>
      <w:r>
        <w:rPr>
          <w:b/>
          <w:bCs/>
        </w:rPr>
        <w:t xml:space="preserve">Notes: </w:t>
      </w:r>
      <w:r>
        <w:t>The Ray et al. 2010 meta-analysis is heavily contested. Critics argue it was underpowered for the mortality endpoint and that subsequent larger meta-analyses (CTT Collaboration) have shown significant mortality benefit. The “days to weeks” characterization applies specifically to low-risk primary prevention populations and should not be extrapolated to secondary prevention or high-risk groups.</w:t>
      </w:r>
    </w:p>
    <w:p w14:paraId="31B75016" w14:textId="77777777" w:rsidR="00224499" w:rsidRDefault="00224499" w:rsidP="00224499">
      <w:pPr>
        <w:spacing w:after="120"/>
      </w:pPr>
      <w:r>
        <w:rPr>
          <w:b/>
          <w:bCs/>
        </w:rPr>
        <w:t xml:space="preserve">Citation Mapping: </w:t>
      </w:r>
      <w:r>
        <w:t>See Appendix F, Section(s) F.16</w:t>
      </w:r>
    </w:p>
    <w:p w14:paraId="31B75017" w14:textId="77777777" w:rsidR="00224499" w:rsidRDefault="00224499"/>
    <w:p w14:paraId="31B75020" w14:textId="77777777" w:rsidR="00224499" w:rsidRDefault="00224499" w:rsidP="00224499">
      <w:pPr>
        <w:spacing w:before="300" w:after="100"/>
      </w:pPr>
      <w:r>
        <w:rPr>
          <w:rFonts w:ascii="Arial" w:eastAsia="Arial" w:hAnsi="Arial" w:cs="Arial"/>
          <w:b/>
          <w:bCs/>
          <w:sz w:val="22"/>
          <w:szCs w:val="22"/>
        </w:rPr>
        <w:t>E-77</w:t>
      </w:r>
    </w:p>
    <w:p w14:paraId="31B75021" w14:textId="77777777" w:rsidR="00224499" w:rsidRDefault="00224499" w:rsidP="00224499">
      <w:pPr>
        <w:spacing w:after="60"/>
      </w:pPr>
      <w:r>
        <w:rPr>
          <w:b/>
          <w:bCs/>
        </w:rPr>
        <w:t xml:space="preserve">Claim: </w:t>
      </w:r>
      <w:r>
        <w:t>Statin-associated muscle symptoms (myalgia) affect approximately 5–20% of statin users in observational studies, with prevalence varying by statin type, dose, and assessment methodology.</w:t>
      </w:r>
    </w:p>
    <w:p w14:paraId="31B75022" w14:textId="77777777" w:rsidR="00224499" w:rsidRDefault="00224499" w:rsidP="00224499">
      <w:pPr>
        <w:spacing w:after="60"/>
      </w:pPr>
      <w:r>
        <w:rPr>
          <w:b/>
          <w:bCs/>
        </w:rPr>
        <w:t xml:space="preserve">Type: </w:t>
      </w:r>
      <w:r>
        <w:t>Clinical-outcome</w:t>
      </w:r>
    </w:p>
    <w:p w14:paraId="31B75023" w14:textId="77777777" w:rsidR="00224499" w:rsidRDefault="00224499" w:rsidP="00224499">
      <w:pPr>
        <w:spacing w:after="60"/>
      </w:pPr>
      <w:r>
        <w:rPr>
          <w:b/>
          <w:bCs/>
        </w:rPr>
        <w:t xml:space="preserve">Evidence Strength: </w:t>
      </w:r>
      <w:r>
        <w:t>Moderate–High</w:t>
      </w:r>
    </w:p>
    <w:p w14:paraId="31B75024" w14:textId="77777777" w:rsidR="00224499" w:rsidRDefault="00224499" w:rsidP="00224499">
      <w:pPr>
        <w:spacing w:after="60"/>
      </w:pPr>
      <w:r>
        <w:rPr>
          <w:b/>
          <w:bCs/>
        </w:rPr>
        <w:t xml:space="preserve">Evidence Base: </w:t>
      </w:r>
      <w:r>
        <w:t>Large observational survey (PRIMO, n=7,924), supported by multiple observational registries and clinical practice estimates</w:t>
      </w:r>
    </w:p>
    <w:p w14:paraId="31B75025" w14:textId="77777777" w:rsidR="00224499" w:rsidRDefault="00224499" w:rsidP="00224499">
      <w:pPr>
        <w:spacing w:after="60"/>
      </w:pPr>
      <w:r>
        <w:rPr>
          <w:b/>
          <w:bCs/>
        </w:rPr>
        <w:t xml:space="preserve">Notes: </w:t>
      </w:r>
      <w:r>
        <w:t>The 5–20% range reflects observational data. RCT-derived estimates are lower (typically 1–5% above placebo), which may reflect selection bias in trial enrollment. The National Lipid Association (2023) estimates total SAMS prevalence at approximately 10% (range 5–25%).</w:t>
      </w:r>
    </w:p>
    <w:p w14:paraId="31B75026" w14:textId="77777777" w:rsidR="00224499" w:rsidRDefault="00224499" w:rsidP="00224499">
      <w:pPr>
        <w:spacing w:after="120"/>
      </w:pPr>
      <w:r>
        <w:rPr>
          <w:b/>
          <w:bCs/>
        </w:rPr>
        <w:t xml:space="preserve">Citation Mapping: </w:t>
      </w:r>
      <w:r>
        <w:t>See Appendix F, Section(s) F.16</w:t>
      </w:r>
    </w:p>
    <w:p w14:paraId="31B75027" w14:textId="77777777" w:rsidR="00224499" w:rsidRDefault="00224499"/>
    <w:p w14:paraId="41B78001" w14:textId="77777777" w:rsidR="00224499" w:rsidRDefault="00224499" w:rsidP="00224499">
      <w:pPr>
        <w:spacing w:before="300" w:after="100"/>
      </w:pPr>
      <w:r>
        <w:rPr>
          <w:rFonts w:ascii="Arial" w:eastAsia="Arial" w:hAnsi="Arial" w:cs="Arial"/>
          <w:b/>
          <w:bCs/>
          <w:sz w:val="22"/>
          <w:szCs w:val="22"/>
        </w:rPr>
        <w:t>E-78</w:t>
      </w:r>
    </w:p>
    <w:p w14:paraId="41B78002" w14:textId="77777777" w:rsidR="00224499" w:rsidRDefault="00224499" w:rsidP="00224499">
      <w:pPr>
        <w:spacing w:after="60"/>
      </w:pPr>
      <w:r>
        <w:rPr>
          <w:b/>
          <w:bCs/>
        </w:rPr>
        <w:t xml:space="preserve">Claim: </w:t>
      </w:r>
      <w:r>
        <w:t>The 2025–2030 Dietary Guidelines for Americans reversed decades of federal nutrition policy by prioritizing whole, nutrient-dense foods, high-quality protein, and healthy fats while explicitly discouraging highly processed foods and refined carbohydrates—aligning federal dietary guidance with the metabolic framework described in this book.</w:t>
      </w:r>
    </w:p>
    <w:p w14:paraId="41B78003" w14:textId="77777777" w:rsidR="00224499" w:rsidRDefault="00224499" w:rsidP="00224499">
      <w:pPr>
        <w:spacing w:after="60"/>
      </w:pPr>
      <w:r>
        <w:rPr>
          <w:b/>
          <w:bCs/>
        </w:rPr>
        <w:t xml:space="preserve">Type: </w:t>
      </w:r>
      <w:r>
        <w:t>Systems / Policy</w:t>
      </w:r>
    </w:p>
    <w:p w14:paraId="41B78004" w14:textId="77777777" w:rsidR="00224499" w:rsidRDefault="00224499" w:rsidP="00224499">
      <w:pPr>
        <w:spacing w:after="60"/>
      </w:pPr>
      <w:r>
        <w:rPr>
          <w:b/>
          <w:bCs/>
        </w:rPr>
        <w:t xml:space="preserve">Evidence Strength: </w:t>
      </w:r>
      <w:r>
        <w:t>High (regulatory fact)</w:t>
      </w:r>
    </w:p>
    <w:p w14:paraId="41B78005" w14:textId="77777777" w:rsidR="00224499" w:rsidRDefault="00224499" w:rsidP="00224499">
      <w:pPr>
        <w:spacing w:after="60"/>
      </w:pPr>
      <w:r>
        <w:rPr>
          <w:b/>
          <w:bCs/>
        </w:rPr>
        <w:t xml:space="preserve">Evidence Base: </w:t>
      </w:r>
      <w:r>
        <w:t>Official federal dietary guidance (USDA/HHS), published January 7, 2026</w:t>
      </w:r>
    </w:p>
    <w:p w14:paraId="41B78006" w14:textId="77777777" w:rsidR="00224499" w:rsidRDefault="00224499" w:rsidP="00224499">
      <w:pPr>
        <w:spacing w:after="60"/>
      </w:pPr>
      <w:r>
        <w:rPr>
          <w:b/>
          <w:bCs/>
        </w:rPr>
        <w:t xml:space="preserve">Notes: </w:t>
      </w:r>
      <w:r>
        <w:t>The 2025–2030 guidelines inverted the traditional food pyramid, placing protein, dairy, and healthy fats at the top alongside vegetables and fruits, with whole grains minimized at the base. The guidelines explicitly named highly processed foods as a category to avoid—a first in federal dietary guidance. This edition was controversial; the DGAC scientific advisory committee’s recommendations were substantially modified in the final published version. Alignment with the book’s framework is structural, not an endorsement of the specific ketogenic approach described in the text.</w:t>
      </w:r>
    </w:p>
    <w:p w14:paraId="41B78007" w14:textId="77777777" w:rsidR="00224499" w:rsidRDefault="00224499" w:rsidP="00224499">
      <w:pPr>
        <w:spacing w:after="120"/>
      </w:pPr>
      <w:r>
        <w:rPr>
          <w:b/>
          <w:bCs/>
        </w:rPr>
        <w:t xml:space="preserve">Citation Mapping: </w:t>
      </w:r>
      <w:r>
        <w:t>See Appendix F, Section(s) F.12</w:t>
      </w:r>
    </w:p>
    <w:p w14:paraId="41B78008" w14:textId="77777777" w:rsidR="00224499" w:rsidRDefault="00224499"/>
    <w:p w14:paraId="4B86B6D8" w14:textId="77777777" w:rsidR="00340BC2" w:rsidRDefault="00000000">
      <w:pPr>
        <w:pStyle w:val="Heading1"/>
      </w:pPr>
      <w:r>
        <w:t>Closing Perspective</w:t>
      </w:r>
    </w:p>
    <w:p w14:paraId="0A215603" w14:textId="77777777" w:rsidR="00340BC2" w:rsidRDefault="00000000">
      <w:pPr>
        <w:jc w:val="both"/>
      </w:pPr>
      <w:r>
        <w:t>This ledger exists to clarify, not constrain, the narrative.</w:t>
      </w:r>
    </w:p>
    <w:p w14:paraId="3BED66E4" w14:textId="77777777" w:rsidR="00340BC2" w:rsidRDefault="00000000">
      <w:pPr>
        <w:spacing w:before="200"/>
        <w:jc w:val="both"/>
      </w:pPr>
      <w:r>
        <w:lastRenderedPageBreak/>
        <w:t>Claims in PhatPharm are intentionally bold, but not careless. Where evidence is mature, language is direct. Where evidence is evolving, language is precise. Where systems shape outcomes, critique is structural rather than personal.</w:t>
      </w:r>
    </w:p>
    <w:p w14:paraId="1D90FC57" w14:textId="77777777" w:rsidR="00340BC2" w:rsidRDefault="00000000">
      <w:pPr>
        <w:spacing w:before="200"/>
        <w:jc w:val="both"/>
      </w:pPr>
      <w:r>
        <w:t>Science advances.</w:t>
      </w:r>
    </w:p>
    <w:p w14:paraId="5E2D6255" w14:textId="77777777" w:rsidR="00340BC2" w:rsidRDefault="00000000">
      <w:pPr>
        <w:spacing w:before="200"/>
        <w:jc w:val="both"/>
      </w:pPr>
      <w:r>
        <w:t>This spine is designed to advance with it.</w:t>
      </w:r>
    </w:p>
    <w:p w14:paraId="0E2230B9" w14:textId="77777777" w:rsidR="00340BC2" w:rsidRDefault="00000000">
      <w:pPr>
        <w:pStyle w:val="Heading1"/>
      </w:pPr>
      <w:r>
        <w:t>A Note on Citations</w:t>
      </w:r>
    </w:p>
    <w:p w14:paraId="50B3D484" w14:textId="77777777" w:rsidR="00340BC2" w:rsidRDefault="00000000">
      <w:pPr>
        <w:jc w:val="both"/>
      </w:pPr>
      <w:r>
        <w:t>Abbreviated references throughout this appendix include author, title, and publication year for quick reference. Complete citations with volume numbers, page ranges, and DOI links are provided in Appendix F: Citations &amp; References.</w:t>
      </w:r>
    </w:p>
    <w:sectPr w:rsidR="00340BC2">
      <w:pgSz w:w="8640" w:h="12960"/>
      <w:pgMar w:top="900" w:right="720" w:bottom="1080" w:left="10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inion Pro">
    <w:panose1 w:val="020B0604020202020204"/>
    <w:charset w:val="00"/>
    <w:family w:val="roman"/>
    <w:notTrueType/>
    <w:pitch w:val="variable"/>
    <w:sig w:usb0="60000287" w:usb1="00000001" w:usb2="00000000" w:usb3="00000000" w:csb0="0000019F" w:csb1="00000000"/>
  </w:font>
  <w:font w:name="Avenir Medium">
    <w:panose1 w:val="02000603020000020003"/>
    <w:charset w:val="00"/>
    <w:family w:val="auto"/>
    <w:pitch w:val="variable"/>
    <w:sig w:usb0="800000AF" w:usb1="5000204A" w:usb2="00000000" w:usb3="00000000" w:csb0="0000009B" w:csb1="00000000"/>
  </w:font>
  <w:font w:name="Avenir Book">
    <w:panose1 w:val="02000503020000020003"/>
    <w:charset w:val="00"/>
    <w:family w:val="auto"/>
    <w:pitch w:val="variable"/>
    <w:sig w:usb0="800000AF" w:usb1="5000204A" w:usb2="00000000" w:usb3="00000000" w:csb0="0000009B" w:csb1="00000000"/>
  </w:font>
  <w:font w:name="Times New Roman">
    <w:panose1 w:val="02020603050405020304"/>
    <w:charset w:val="00"/>
    <w:family w:val="roman"/>
    <w:pitch w:val="variable"/>
    <w:sig w:usb0="E0002EFF" w:usb1="C000785B" w:usb2="00000009" w:usb3="00000000" w:csb0="000001FF" w:csb1="00000000"/>
  </w:font>
  <w:font w:name="Avenir">
    <w:panose1 w:val="02000503020000020003"/>
    <w:charset w:val="00"/>
    <w:family w:val="auto"/>
    <w:pitch w:val="variable"/>
    <w:sig w:usb0="800000AF" w:usb1="5000204A" w:usb2="00000000" w:usb3="00000000" w:csb0="0000009B"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0168E6"/>
    <w:multiLevelType w:val="hybridMultilevel"/>
    <w:tmpl w:val="366671AC"/>
    <w:lvl w:ilvl="0" w:tplc="5D4215F6">
      <w:start w:val="1"/>
      <w:numFmt w:val="bullet"/>
      <w:lvlText w:val="•"/>
      <w:lvlJc w:val="left"/>
      <w:pPr>
        <w:ind w:left="540" w:hanging="260"/>
      </w:pPr>
    </w:lvl>
    <w:lvl w:ilvl="1" w:tplc="D5B626AC">
      <w:numFmt w:val="decimal"/>
      <w:lvlText w:val=""/>
      <w:lvlJc w:val="left"/>
    </w:lvl>
    <w:lvl w:ilvl="2" w:tplc="156AD622">
      <w:numFmt w:val="decimal"/>
      <w:lvlText w:val=""/>
      <w:lvlJc w:val="left"/>
    </w:lvl>
    <w:lvl w:ilvl="3" w:tplc="63C25F6A">
      <w:numFmt w:val="decimal"/>
      <w:lvlText w:val=""/>
      <w:lvlJc w:val="left"/>
    </w:lvl>
    <w:lvl w:ilvl="4" w:tplc="BA3C386E">
      <w:numFmt w:val="decimal"/>
      <w:lvlText w:val=""/>
      <w:lvlJc w:val="left"/>
    </w:lvl>
    <w:lvl w:ilvl="5" w:tplc="445863C0">
      <w:numFmt w:val="decimal"/>
      <w:lvlText w:val=""/>
      <w:lvlJc w:val="left"/>
    </w:lvl>
    <w:lvl w:ilvl="6" w:tplc="11F2D152">
      <w:numFmt w:val="decimal"/>
      <w:lvlText w:val=""/>
      <w:lvlJc w:val="left"/>
    </w:lvl>
    <w:lvl w:ilvl="7" w:tplc="D284ACB4">
      <w:numFmt w:val="decimal"/>
      <w:lvlText w:val=""/>
      <w:lvlJc w:val="left"/>
    </w:lvl>
    <w:lvl w:ilvl="8" w:tplc="1CC4132A">
      <w:numFmt w:val="decimal"/>
      <w:lvlText w:val=""/>
      <w:lvlJc w:val="left"/>
    </w:lvl>
  </w:abstractNum>
  <w:abstractNum w:abstractNumId="1" w15:restartNumberingAfterBreak="0">
    <w:nsid w:val="461728C4"/>
    <w:multiLevelType w:val="hybridMultilevel"/>
    <w:tmpl w:val="62FCF1FE"/>
    <w:lvl w:ilvl="0" w:tplc="52469B5A">
      <w:start w:val="1"/>
      <w:numFmt w:val="bullet"/>
      <w:lvlText w:val="●"/>
      <w:lvlJc w:val="left"/>
      <w:pPr>
        <w:ind w:left="720" w:hanging="360"/>
      </w:pPr>
    </w:lvl>
    <w:lvl w:ilvl="1" w:tplc="4C9AFD82">
      <w:start w:val="1"/>
      <w:numFmt w:val="bullet"/>
      <w:lvlText w:val="○"/>
      <w:lvlJc w:val="left"/>
      <w:pPr>
        <w:ind w:left="1440" w:hanging="360"/>
      </w:pPr>
    </w:lvl>
    <w:lvl w:ilvl="2" w:tplc="24CABC4A">
      <w:start w:val="1"/>
      <w:numFmt w:val="bullet"/>
      <w:lvlText w:val="■"/>
      <w:lvlJc w:val="left"/>
      <w:pPr>
        <w:ind w:left="2160" w:hanging="360"/>
      </w:pPr>
    </w:lvl>
    <w:lvl w:ilvl="3" w:tplc="18B64038">
      <w:start w:val="1"/>
      <w:numFmt w:val="bullet"/>
      <w:lvlText w:val="●"/>
      <w:lvlJc w:val="left"/>
      <w:pPr>
        <w:ind w:left="2880" w:hanging="360"/>
      </w:pPr>
    </w:lvl>
    <w:lvl w:ilvl="4" w:tplc="0DE2D31A">
      <w:start w:val="1"/>
      <w:numFmt w:val="bullet"/>
      <w:lvlText w:val="○"/>
      <w:lvlJc w:val="left"/>
      <w:pPr>
        <w:ind w:left="3600" w:hanging="360"/>
      </w:pPr>
    </w:lvl>
    <w:lvl w:ilvl="5" w:tplc="07BE5B18">
      <w:start w:val="1"/>
      <w:numFmt w:val="bullet"/>
      <w:lvlText w:val="■"/>
      <w:lvlJc w:val="left"/>
      <w:pPr>
        <w:ind w:left="4320" w:hanging="360"/>
      </w:pPr>
    </w:lvl>
    <w:lvl w:ilvl="6" w:tplc="1F765C98">
      <w:start w:val="1"/>
      <w:numFmt w:val="bullet"/>
      <w:lvlText w:val="●"/>
      <w:lvlJc w:val="left"/>
      <w:pPr>
        <w:ind w:left="5040" w:hanging="360"/>
      </w:pPr>
    </w:lvl>
    <w:lvl w:ilvl="7" w:tplc="8F02E5DE">
      <w:start w:val="1"/>
      <w:numFmt w:val="bullet"/>
      <w:lvlText w:val="●"/>
      <w:lvlJc w:val="left"/>
      <w:pPr>
        <w:ind w:left="5760" w:hanging="360"/>
      </w:pPr>
    </w:lvl>
    <w:lvl w:ilvl="8" w:tplc="200E0230">
      <w:start w:val="1"/>
      <w:numFmt w:val="bullet"/>
      <w:lvlText w:val="●"/>
      <w:lvlJc w:val="left"/>
      <w:pPr>
        <w:ind w:left="6480" w:hanging="360"/>
      </w:pPr>
    </w:lvl>
  </w:abstractNum>
  <w:num w:numId="1" w16cid:durableId="194582596">
    <w:abstractNumId w:val="1"/>
    <w:lvlOverride w:ilvl="0">
      <w:startOverride w:val="1"/>
    </w:lvlOverride>
  </w:num>
  <w:num w:numId="2" w16cid:durableId="89963394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0BC2"/>
    <w:rsid w:val="00224499"/>
    <w:rsid w:val="00340BC2"/>
    <w:rsid w:val="00E3484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63DA2F59"/>
  <w15:docId w15:val="{AA9EB31B-FB38-AF4A-8055-6014CE9B33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Minion Pro" w:eastAsia="Minion Pro" w:hAnsi="Minion Pro" w:cs="Minion Pro"/>
        <w:color w:val="000000"/>
        <w:sz w:val="21"/>
        <w:szCs w:val="21"/>
        <w:lang w:val="en-US" w:eastAsia="zh-CN" w:bidi="ar-SA"/>
      </w:rPr>
    </w:rPrDefault>
    <w:pPrDefault>
      <w:pPr>
        <w:spacing w:line="285" w:lineRule="exac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keepNext/>
      <w:keepLines/>
      <w:spacing w:before="400" w:after="160" w:line="312" w:lineRule="atLeast"/>
      <w:outlineLvl w:val="0"/>
    </w:pPr>
    <w:rPr>
      <w:rFonts w:ascii="Avenir Medium" w:eastAsia="Avenir Medium" w:hAnsi="Avenir Medium" w:cs="Avenir Medium"/>
      <w:b/>
      <w:bCs/>
      <w:sz w:val="26"/>
      <w:szCs w:val="26"/>
    </w:rPr>
  </w:style>
  <w:style w:type="paragraph" w:styleId="Heading2">
    <w:name w:val="heading 2"/>
    <w:uiPriority w:val="9"/>
    <w:semiHidden/>
    <w:unhideWhenUsed/>
    <w:qFormat/>
    <w:pPr>
      <w:keepNext/>
      <w:keepLines/>
      <w:spacing w:before="280" w:after="80" w:line="276" w:lineRule="atLeast"/>
      <w:outlineLvl w:val="1"/>
    </w:pPr>
    <w:rPr>
      <w:rFonts w:ascii="Avenir Book" w:eastAsia="Avenir Book" w:hAnsi="Avenir Book" w:cs="Avenir Book"/>
      <w:b/>
      <w:bCs/>
      <w:sz w:val="23"/>
      <w:szCs w:val="23"/>
    </w:rPr>
  </w:style>
  <w:style w:type="paragraph" w:styleId="Heading3">
    <w:name w:val="heading 3"/>
    <w:uiPriority w:val="9"/>
    <w:semiHidden/>
    <w:unhideWhenUsed/>
    <w:qFormat/>
    <w:pPr>
      <w:keepNext/>
      <w:spacing w:before="200" w:after="80" w:line="252" w:lineRule="atLeast"/>
      <w:outlineLvl w:val="2"/>
    </w:pPr>
    <w:rPr>
      <w:rFonts w:ascii="Avenir Book" w:eastAsia="Avenir Book" w:hAnsi="Avenir Book" w:cs="Avenir Book"/>
      <w:i/>
      <w:iCs/>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paragraph" w:customStyle="1" w:styleId="BodyFirst">
    <w:name w:val="Body First"/>
    <w:qFormat/>
    <w:pPr>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29</Pages>
  <Words>3900</Words>
  <Characters>26169</Characters>
  <Application>Microsoft Office Word</Application>
  <DocSecurity>0</DocSecurity>
  <Lines>707</Lines>
  <Paragraphs>613</Paragraphs>
  <ScaleCrop>false</ScaleCrop>
  <Company/>
  <LinksUpToDate>false</LinksUpToDate>
  <CharactersWithSpaces>29456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Angela Akinpelu</cp:lastModifiedBy>
  <cp:revision>2</cp:revision>
  <dcterms:created xsi:type="dcterms:W3CDTF">2026-02-22T10:39:00Z</dcterms:created>
  <dcterms:modified xsi:type="dcterms:W3CDTF">2026-03-13T20:44:00Z</dcterms:modified>
</cp:coreProperties>
</file>