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0" w:after="80" w:line="460" w:lineRule="atLeast"/>
        <w:jc w:val="left"/>
      </w:pPr>
      <w:r>
        <w:rPr>
          <w:rFonts w:ascii="Avenir" w:cs="Avenir" w:eastAsia="Avenir" w:hAnsi="Avenir"/>
          <w:b/>
          <w:bCs/>
          <w:color w:val="1A1A2E"/>
          <w:sz w:val="36"/>
          <w:szCs w:val="36"/>
        </w:rPr>
        <w:t xml:space="preserve">Appendix H: Resources, Tools, and Community</w:t>
      </w:r>
    </w:p>
    <w:p>
      <w:pPr>
        <w:spacing w:before="0" w:after="800" w:line="320" w:lineRule="atLeast"/>
        <w:jc w:val="left"/>
      </w:pPr>
      <w:r>
        <w:rPr>
          <w:rFonts w:ascii="Avenir Book" w:cs="Avenir Book" w:eastAsia="Avenir Book" w:hAnsi="Avenir Book"/>
          <w:i/>
          <w:iCs/>
          <w:color w:val="1A1A2E"/>
          <w:sz w:val="26"/>
          <w:szCs w:val="26"/>
        </w:rPr>
        <w:t xml:space="preserve">Support Without Substitution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Metabolic change does not occur in isolation.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This appendix offers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select resources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 that can support learning, monitoring, and long-term engagement. These are not endorsements of a single method or ideology. They are tools that, when used appropriately, can reduce friction and improve sustainability.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No resource replaces individualized medical care.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H.1 Foundational Reading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The following works expand on concepts discussed in this book and represent a range of scientific perspectives: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Texts on insulin resistance, metabolic health, and nutrition science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Reviews addressing obesity physiology beyond calorie models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Clinical narratives examining chronic disease management and reversal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Readers are encouraged to approach all material with the same critical lens applied throughout </w:t>
      </w:r>
      <w:r>
        <w:rPr>
          <w:rFonts w:ascii="Minion Pro" w:cs="Minion Pro" w:eastAsia="Minion Pro" w:hAnsi="Minion Pro"/>
          <w:i/>
          <w:iCs/>
          <w:color w:val="000000"/>
          <w:sz w:val="21"/>
          <w:szCs w:val="21"/>
        </w:rPr>
        <w:t xml:space="preserve">PhatPharm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H.2 Monitoring Tools (Optional)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Some individuals benefit from objective feedback during metabolic change. Tools may include: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Continuous glucose monitors (CGMs)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Periodic laboratory testing under clinical supervision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Body composition assessments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Activity or sleep tracking devices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Data should inform decisions, not create anxiety or obsession.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H.3 Coaching and Education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Behavior change is often more durable when supported.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Educational programs or coaching relationships may help with: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Translating metabolic principles into daily life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Navigating plateaus or transitions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Maintaining accountability without rigidity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Coaching is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not medical care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 and should complement, not replace, clinical oversight.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H.4 Community as Infrastructure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Sustained metabolic change is more likely when individuals are not isolated.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Community provides: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Shared experience without comparison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Normalization of challenges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Practical insight from lived experience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Community should support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agency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, not conformity.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H.5 Online Information: Use with Discernment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Nutrition and metabolic content online ranges from evidence-based to speculative.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When evaluating information: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Look for citations and transparency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Be wary of absolutes and moralized language</w:t>
      </w:r>
    </w:p>
    <w:p>
      <w:pPr>
        <w:pStyle w:val="ListParagraph"/>
        <w:numPr>
          <w:ilvl w:val="0"/>
          <w:numId w:val="2"/>
        </w:numPr>
        <w:spacing w:before="60" w:after="0" w:line="285" w:lineRule="exact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Avoid sources that dismiss individual variation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The loudest voices are not always the most accurate.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H.6 Returning to the Exam Room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Books inform.\ Communities support.\ Clinicians guide.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The most meaningful metabolic progress occurs when these elements work together.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Readers are encouraged to bring questions, data, and insights from this book into conversations with qualified healthcare professionals.</w:t>
      </w:r>
    </w:p>
    <w:p>
      <w:pPr>
        <w:pStyle w:val="Heading1"/>
      </w:pPr>
      <w:r>
        <w:rPr>
          <w:rFonts w:ascii="Avenir Medium" w:cs="Avenir Medium" w:eastAsia="Avenir Medium" w:hAnsi="Avenir Medium"/>
          <w:b/>
          <w:bCs/>
          <w:color w:val="000000"/>
          <w:sz w:val="26"/>
          <w:szCs w:val="26"/>
        </w:rPr>
        <w:t xml:space="preserve">Closing Perspective</w:t>
      </w:r>
    </w:p>
    <w:p>
      <w:pPr>
        <w:spacing w:before="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No appendix can provide certainty.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What it can provide is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support, structure, and continuity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, so that insight does not end when the last page does.</w:t>
      </w:r>
    </w:p>
    <w:p>
      <w:pPr>
        <w:spacing w:before="200" w:after="0" w:line="285" w:lineRule="exact"/>
        <w:ind w:firstLine="0"/>
        <w:jc w:val="both"/>
      </w:pP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Metabolic health is not restored by information alone.\ It is restored by </w:t>
      </w:r>
      <w:r>
        <w:rPr>
          <w:rFonts w:ascii="Minion Pro" w:cs="Minion Pro" w:eastAsia="Minion Pro" w:hAnsi="Minion Pro"/>
          <w:b/>
          <w:bCs/>
          <w:color w:val="000000"/>
          <w:sz w:val="21"/>
          <w:szCs w:val="21"/>
        </w:rPr>
        <w:t xml:space="preserve">alignment, patience, and sustained engagement</w:t>
      </w:r>
      <w:r>
        <w:rPr>
          <w:rFonts w:ascii="Minion Pro" w:cs="Minion Pro" w:eastAsia="Minion Pro" w:hAnsi="Minion Pro"/>
          <w:color w:val="000000"/>
          <w:sz w:val="21"/>
          <w:szCs w:val="21"/>
        </w:rPr>
        <w:t xml:space="preserve">.</w:t>
      </w:r>
    </w:p>
    <w:sectPr>
      <w:pgSz w:w="8640" w:h="12960" w:orient="portrait"/>
      <w:pgMar w:top="900" w:right="72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ion Pro" w:cs="Minion Pro" w:eastAsia="Minion Pro" w:hAnsi="Minion Pro"/>
        <w:color w:val="000000"/>
        <w:sz w:val="21"/>
        <w:szCs w:val="21"/>
      </w:rPr>
    </w:rPrDefault>
    <w:pPrDefault>
      <w:pPr>
        <w:spacing w:line="285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400" w:after="160" w:line="312" w:lineRule="atLeast"/>
      <w:jc w:val="left"/>
      <w:outlineLvl w:val="0"/>
    </w:pPr>
    <w:rPr>
      <w:rFonts w:ascii="Avenir Medium" w:cs="Avenir Medium" w:eastAsia="Avenir Medium" w:hAnsi="Avenir Medium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76" w:lineRule="atLeast"/>
      <w:jc w:val="left"/>
      <w:outlineLvl w:val="1"/>
    </w:pPr>
    <w:rPr>
      <w:rFonts w:ascii="Avenir Book" w:cs="Avenir Book" w:eastAsia="Avenir Book" w:hAnsi="Avenir Book"/>
      <w:b/>
      <w:bCs/>
      <w:color w:val="000000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before="200" w:after="80" w:line="252" w:lineRule="atLeast"/>
      <w:jc w:val="left"/>
      <w:outlineLvl w:val="2"/>
    </w:pPr>
    <w:rPr>
      <w:rFonts w:ascii="Avenir Book" w:cs="Avenir Book" w:eastAsia="Avenir Book" w:hAnsi="Avenir Book"/>
      <w:i/>
      <w:iCs/>
      <w:color w:val="000000"/>
      <w:sz w:val="21"/>
      <w:szCs w:val="21"/>
    </w:rPr>
  </w:style>
  <w:style w:type="paragraph" w:styleId="BodyFirst">
    <w:name w:val="Body First"/>
    <w:basedOn w:val="Normal"/>
    <w:next w:val="Normal"/>
    <w:qFormat/>
    <w:pPr>
      <w:spacing w:before="0" w:after="0" w:line="285" w:lineRule="exact"/>
      <w:ind w:firstLine="0"/>
      <w:jc w:val="both"/>
    </w:pPr>
    <w:rPr>
      <w:rFonts w:ascii="Minion Pro" w:cs="Minion Pro" w:eastAsia="Minion Pro" w:hAnsi="Minion Pro"/>
      <w:color w:val="00000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2026-02-22T10:39:29.097Z</dcterms:created>
  <dcterms:modified xsi:type="dcterms:W3CDTF">2026-02-22T10:39:29.098Z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