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jc w:val="center"/>
      </w:pPr>
      <w:r>
        <w:rPr>
          <w:rFonts w:ascii="Cormorant Garamond" w:cs="Cormorant Garamond" w:eastAsia="Cormorant Garamond" w:hAnsi="Cormorant Garamond"/>
          <w:b/>
          <w:bCs/>
          <w:color w:val="00A89D"/>
          <w:sz w:val="64"/>
          <w:szCs w:val="64"/>
        </w:rPr>
        <w:t xml:space="preserve">IS OWNER-BUILDING</w:t>
      </w:r>
    </w:p>
    <w:p>
      <w:pPr>
        <w:spacing w:after="200" w:before="0"/>
        <w:jc w:val="center"/>
      </w:pPr>
      <w:r>
        <w:rPr>
          <w:rFonts w:ascii="Cormorant Garamond" w:cs="Cormorant Garamond" w:eastAsia="Cormorant Garamond" w:hAnsi="Cormorant Garamond"/>
          <w:b/>
          <w:bCs/>
          <w:color w:val="F8A07E"/>
          <w:sz w:val="64"/>
          <w:szCs w:val="64"/>
        </w:rPr>
        <w:t xml:space="preserve">RIGHT FOR YOU?</w:t>
      </w:r>
    </w:p>
    <w:p>
      <w:pPr>
        <w:spacing w:after="600" w:before="0"/>
        <w:jc w:val="center"/>
      </w:pPr>
      <w:r>
        <w:rPr>
          <w:rFonts w:ascii="Jost" w:cs="Jost" w:eastAsia="Jost" w:hAnsi="Jost"/>
          <w:i/>
          <w:iCs/>
          <w:color w:val="4A4A4A"/>
          <w:sz w:val="26"/>
          <w:szCs w:val="26"/>
        </w:rPr>
        <w:t xml:space="preserve">A Florida homeowner's honest guide to building your own home — without losing your savings, your sanity, or your permit</w:t>
      </w:r>
    </w:p>
    <w:p>
      <w:pPr>
        <w:spacing w:after="1200" w:before="200"/>
        <w:jc w:val="center"/>
      </w:pPr>
      <w:r>
        <w:rPr>
          <w:rFonts w:ascii="Caveat" w:cs="Caveat" w:eastAsia="Caveat" w:hAnsi="Caveat"/>
          <w:color w:val="72CAC3"/>
          <w:sz w:val="40"/>
          <w:szCs w:val="40"/>
        </w:rPr>
        <w:t xml:space="preserve">Tasha &amp; the Palm Breeze team</w:t>
      </w:r>
    </w:p>
    <w:p>
      <w:r>
        <w:br w:type="page"/>
      </w: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Before You Pull a Permit</w:t>
      </w:r>
    </w:p>
    <w:p>
      <w:pPr>
        <w:spacing w:after="160" w:line="300"/>
      </w:pPr>
      <w:r>
        <w:rPr>
          <w:rFonts w:ascii="Jost" w:cs="Jost" w:eastAsia="Jost" w:hAnsi="Jost"/>
          <w:color w:val="231F20"/>
          <w:sz w:val="22"/>
          <w:szCs w:val="22"/>
        </w:rPr>
        <w:t xml:space="preserve">Owner-building can save you real money — tens of thousands of dollars on a typical custom home in Southwest Florida. But it can also turn into the most expensive mistake of your life if you go in without a clear picture of what you're actually signing up for.</w:t>
      </w:r>
    </w:p>
    <w:p>
      <w:pPr>
        <w:spacing w:after="160" w:line="300"/>
      </w:pPr>
      <w:r>
        <w:rPr>
          <w:rFonts w:ascii="Jost" w:cs="Jost" w:eastAsia="Jost" w:hAnsi="Jost"/>
          <w:color w:val="231F20"/>
          <w:sz w:val="22"/>
          <w:szCs w:val="22"/>
        </w:rPr>
        <w:t xml:space="preserve">This guide isn't here to talk you out of it. It's here to help you go in with your eyes open — and to show you exactly where the risk lives, so you can decide for yourself whether owner-building is the right path, or whether a guided approach makes more sense.</w:t>
      </w:r>
    </w:p>
    <w:p>
      <w:pPr>
        <w:spacing w:after="160" w:line="300"/>
      </w:pPr>
      <w:r>
        <w:rPr>
          <w:rFonts w:ascii="Jost" w:cs="Jost" w:eastAsia="Jost" w:hAnsi="Jost"/>
          <w:i/>
          <w:iCs/>
          <w:color w:val="00A89D"/>
          <w:sz w:val="22"/>
          <w:szCs w:val="22"/>
        </w:rPr>
        <w:t xml:space="preserve">We work with Florida owner-builders every day. Here's what we tell them before they sign anything.</w:t>
      </w: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1. What "Owner-Builder" Actually Means in Florida</w:t>
      </w:r>
    </w:p>
    <w:p>
      <w:pPr>
        <w:spacing w:after="160" w:line="300"/>
      </w:pPr>
      <w:r>
        <w:rPr>
          <w:rFonts w:ascii="Jost" w:cs="Jost" w:eastAsia="Jost" w:hAnsi="Jost"/>
          <w:color w:val="231F20"/>
          <w:sz w:val="22"/>
          <w:szCs w:val="22"/>
        </w:rPr>
        <w:t xml:space="preserve">When you pull an owner-builder permit in Florida, you're telling the state and your county that you — not a licensed general contractor — are legally responsible for the construction of your home. That includes:</w:t>
      </w:r>
    </w:p>
    <w:p>
      <w:pPr>
        <w:pStyle w:val="ListParagraph"/>
        <w:numPr>
          <w:ilvl w:val="0"/>
          <w:numId w:val="2"/>
        </w:numPr>
        <w:spacing w:after="100" w:line="280"/>
      </w:pPr>
      <w:r>
        <w:rPr>
          <w:rFonts w:ascii="Jost" w:cs="Jost" w:eastAsia="Jost" w:hAnsi="Jost"/>
          <w:color w:val="231F20"/>
          <w:sz w:val="22"/>
          <w:szCs w:val="22"/>
        </w:rPr>
        <w:t xml:space="preserve">Hiring, scheduling, and paying every subcontractor yourself</w:t>
      </w:r>
    </w:p>
    <w:p>
      <w:pPr>
        <w:pStyle w:val="ListParagraph"/>
        <w:numPr>
          <w:ilvl w:val="0"/>
          <w:numId w:val="2"/>
        </w:numPr>
        <w:spacing w:after="100" w:line="280"/>
      </w:pPr>
      <w:r>
        <w:rPr>
          <w:rFonts w:ascii="Jost" w:cs="Jost" w:eastAsia="Jost" w:hAnsi="Jost"/>
          <w:color w:val="231F20"/>
          <w:sz w:val="22"/>
          <w:szCs w:val="22"/>
        </w:rPr>
        <w:t xml:space="preserve">Scheduling and passing every inspection, in the correct order</w:t>
      </w:r>
    </w:p>
    <w:p>
      <w:pPr>
        <w:pStyle w:val="ListParagraph"/>
        <w:numPr>
          <w:ilvl w:val="0"/>
          <w:numId w:val="2"/>
        </w:numPr>
        <w:spacing w:after="100" w:line="280"/>
      </w:pPr>
      <w:r>
        <w:rPr>
          <w:rFonts w:ascii="Jost" w:cs="Jost" w:eastAsia="Jost" w:hAnsi="Jost"/>
          <w:color w:val="231F20"/>
          <w:sz w:val="22"/>
          <w:szCs w:val="22"/>
        </w:rPr>
        <w:t xml:space="preserve">Carrying the legal liability if something goes wrong on the job site</w:t>
      </w:r>
    </w:p>
    <w:p>
      <w:pPr>
        <w:pStyle w:val="ListParagraph"/>
        <w:numPr>
          <w:ilvl w:val="0"/>
          <w:numId w:val="2"/>
        </w:numPr>
        <w:spacing w:after="100" w:line="280"/>
      </w:pPr>
      <w:r>
        <w:rPr>
          <w:rFonts w:ascii="Jost" w:cs="Jost" w:eastAsia="Jost" w:hAnsi="Jost"/>
          <w:color w:val="231F20"/>
          <w:sz w:val="22"/>
          <w:szCs w:val="22"/>
        </w:rPr>
        <w:t xml:space="preserve">Managing your construction loan draw schedule with your lender</w:t>
      </w:r>
    </w:p>
    <w:p>
      <w:pPr>
        <w:spacing w:after="160" w:line="300"/>
      </w:pPr>
      <w:r>
        <w:rPr>
          <w:rFonts w:ascii="Jost" w:cs="Jost" w:eastAsia="Jost" w:hAnsi="Jost"/>
          <w:color w:val="231F20"/>
          <w:sz w:val="22"/>
          <w:szCs w:val="22"/>
        </w:rPr>
        <w:t xml:space="preserve">Florida law requires you to sign an Owner-Builder Disclosure Statement acknowledging that you understand these responsibilities. It's a real legal document, not a formality — and it's worth reading closely before you sign it.</w:t>
      </w: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2. The Real Risks Nobody Tells You About</w:t>
      </w:r>
    </w:p>
    <w:p>
      <w:pPr>
        <w:pStyle w:val="Heading2"/>
        <w:spacing w:after="120" w:before="240"/>
      </w:pPr>
      <w:r>
        <w:rPr>
          <w:rFonts w:ascii="Cormorant Garamond" w:cs="Cormorant Garamond" w:eastAsia="Cormorant Garamond" w:hAnsi="Cormorant Garamond"/>
          <w:b/>
          <w:bCs/>
          <w:color w:val="231F20"/>
          <w:sz w:val="26"/>
          <w:szCs w:val="26"/>
        </w:rPr>
        <w:t xml:space="preserve">Permitting delays</w:t>
      </w:r>
    </w:p>
    <w:p>
      <w:pPr>
        <w:spacing w:after="160" w:line="300"/>
      </w:pPr>
      <w:r>
        <w:rPr>
          <w:rFonts w:ascii="Jost" w:cs="Jost" w:eastAsia="Jost" w:hAnsi="Jost"/>
          <w:color w:val="231F20"/>
          <w:sz w:val="22"/>
          <w:szCs w:val="22"/>
        </w:rPr>
        <w:t xml:space="preserve">Permits get rejected for reasons that have nothing to do with your home's design — missing site surveys, incorrect setback calculations, or paperwork submitted in the wrong order. Each rejection can cost you weeks.</w:t>
      </w:r>
    </w:p>
    <w:p>
      <w:pPr>
        <w:pStyle w:val="Heading2"/>
        <w:spacing w:after="120" w:before="240"/>
      </w:pPr>
      <w:r>
        <w:rPr>
          <w:rFonts w:ascii="Cormorant Garamond" w:cs="Cormorant Garamond" w:eastAsia="Cormorant Garamond" w:hAnsi="Cormorant Garamond"/>
          <w:b/>
          <w:bCs/>
          <w:color w:val="231F20"/>
          <w:sz w:val="26"/>
          <w:szCs w:val="26"/>
        </w:rPr>
        <w:t xml:space="preserve">Subcontractor scheduling</w:t>
      </w:r>
    </w:p>
    <w:p>
      <w:pPr>
        <w:spacing w:after="160" w:line="300"/>
      </w:pPr>
      <w:r>
        <w:rPr>
          <w:rFonts w:ascii="Jost" w:cs="Jost" w:eastAsia="Jost" w:hAnsi="Jost"/>
          <w:color w:val="231F20"/>
          <w:sz w:val="22"/>
          <w:szCs w:val="22"/>
        </w:rPr>
        <w:t xml:space="preserve">Good subs are booked out months in advance. Without an established relationship, owner-builders often get pushed to the back of the line — or end up with subs who had availability for the wrong reasons.</w:t>
      </w:r>
    </w:p>
    <w:p>
      <w:pPr>
        <w:pStyle w:val="Heading2"/>
        <w:spacing w:after="120" w:before="240"/>
      </w:pPr>
      <w:r>
        <w:rPr>
          <w:rFonts w:ascii="Cormorant Garamond" w:cs="Cormorant Garamond" w:eastAsia="Cormorant Garamond" w:hAnsi="Cormorant Garamond"/>
          <w:b/>
          <w:bCs/>
          <w:color w:val="231F20"/>
          <w:sz w:val="26"/>
          <w:szCs w:val="26"/>
        </w:rPr>
        <w:t xml:space="preserve">Draw schedule mismatches</w:t>
      </w:r>
    </w:p>
    <w:p>
      <w:pPr>
        <w:spacing w:after="160" w:line="300"/>
      </w:pPr>
      <w:r>
        <w:rPr>
          <w:rFonts w:ascii="Jost" w:cs="Jost" w:eastAsia="Jost" w:hAnsi="Jost"/>
          <w:color w:val="231F20"/>
          <w:sz w:val="22"/>
          <w:szCs w:val="22"/>
        </w:rPr>
        <w:t xml:space="preserve">Your lender releases money in stages tied to inspections. If your construction sequence doesn't line up with your draw schedule, you can end up paying subcontractors out of pocket while you wait on your own loan.</w:t>
      </w:r>
    </w:p>
    <w:p>
      <w:pPr>
        <w:pStyle w:val="Heading2"/>
        <w:spacing w:after="120" w:before="240"/>
      </w:pPr>
      <w:r>
        <w:rPr>
          <w:rFonts w:ascii="Cormorant Garamond" w:cs="Cormorant Garamond" w:eastAsia="Cormorant Garamond" w:hAnsi="Cormorant Garamond"/>
          <w:b/>
          <w:bCs/>
          <w:color w:val="231F20"/>
          <w:sz w:val="26"/>
          <w:szCs w:val="26"/>
        </w:rPr>
        <w:t xml:space="preserve">Inspection order</w:t>
      </w:r>
    </w:p>
    <w:p>
      <w:pPr>
        <w:spacing w:after="160" w:line="300"/>
      </w:pPr>
      <w:r>
        <w:rPr>
          <w:rFonts w:ascii="Jost" w:cs="Jost" w:eastAsia="Jost" w:hAnsi="Jost"/>
          <w:color w:val="231F20"/>
          <w:sz w:val="22"/>
          <w:szCs w:val="22"/>
        </w:rPr>
        <w:t xml:space="preserve">Florida counties require inspections in a specific sequence. Calling for the wrong inspection at the wrong time can mean a failed inspection — and a failed inspection on your record can slow down every inspection after it.</w:t>
      </w: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3. Owner-Builder vs. Full GC: The Real Cost Comparison</w:t>
      </w:r>
    </w:p>
    <w:p>
      <w:pPr>
        <w:spacing w:after="160" w:line="300"/>
      </w:pPr>
      <w:r>
        <w:rPr>
          <w:rFonts w:ascii="Jost" w:cs="Jost" w:eastAsia="Jost" w:hAnsi="Jost"/>
          <w:color w:val="231F20"/>
          <w:sz w:val="22"/>
          <w:szCs w:val="22"/>
        </w:rPr>
        <w:t xml:space="preserve">It isn't simply "DIY = cheaper." Here's a more honest breakdown of where the savings and the risk actually sit.</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3180"/>
        <w:gridCol w:w="3180"/>
        <w:gridCol w:w="3180"/>
      </w:tblGrid>
      <w:tr>
        <w:tc>
          <w:tcPr>
            <w:tcW w:type="dxa" w:w="3180"/>
            <w:tcBorders>
              <w:top w:val="single" w:color="72CAC3" w:sz="4"/>
              <w:left w:val="single" w:color="72CAC3" w:sz="4"/>
              <w:bottom w:val="single" w:color="72CAC3" w:sz="4"/>
              <w:right w:val="single" w:color="72CAC3" w:sz="4"/>
            </w:tcBorders>
            <w:shd w:fill="00A89D" w:val="clear"/>
            <w:tcMar>
              <w:top w:type="dxa" w:w="100"/>
              <w:left w:type="dxa" w:w="140"/>
              <w:bottom w:type="dxa" w:w="100"/>
              <w:right w:type="dxa" w:w="140"/>
            </w:tcMar>
          </w:tcPr>
          <w:p>
            <w:r>
              <w:rPr>
                <w:rFonts w:ascii="Jost" w:cs="Jost" w:eastAsia="Jost" w:hAnsi="Jost"/>
                <w:color w:val="FFFFFF"/>
                <w:sz w:val="20"/>
                <w:szCs w:val="20"/>
              </w:rPr>
              <w:t xml:space="preserve"/>
            </w:r>
          </w:p>
        </w:tc>
        <w:tc>
          <w:tcPr>
            <w:tcW w:type="dxa" w:w="3180"/>
            <w:tcBorders>
              <w:top w:val="single" w:color="72CAC3" w:sz="4"/>
              <w:left w:val="single" w:color="72CAC3" w:sz="4"/>
              <w:bottom w:val="single" w:color="72CAC3" w:sz="4"/>
              <w:right w:val="single" w:color="72CAC3" w:sz="4"/>
            </w:tcBorders>
            <w:shd w:fill="00A89D" w:val="clear"/>
            <w:tcMar>
              <w:top w:type="dxa" w:w="100"/>
              <w:left w:type="dxa" w:w="140"/>
              <w:bottom w:type="dxa" w:w="100"/>
              <w:right w:type="dxa" w:w="140"/>
            </w:tcMar>
          </w:tcPr>
          <w:p>
            <w:pPr>
              <w:jc w:val="center"/>
            </w:pPr>
            <w:r>
              <w:rPr>
                <w:rFonts w:ascii="Jost" w:cs="Jost" w:eastAsia="Jost" w:hAnsi="Jost"/>
                <w:b/>
                <w:bCs/>
                <w:color w:val="FFFFFF"/>
                <w:sz w:val="20"/>
                <w:szCs w:val="20"/>
              </w:rPr>
              <w:t xml:space="preserve">Full-Service GC</w:t>
            </w:r>
          </w:p>
        </w:tc>
        <w:tc>
          <w:tcPr>
            <w:tcW w:type="dxa" w:w="3180"/>
            <w:tcBorders>
              <w:top w:val="single" w:color="72CAC3" w:sz="4"/>
              <w:left w:val="single" w:color="72CAC3" w:sz="4"/>
              <w:bottom w:val="single" w:color="72CAC3" w:sz="4"/>
              <w:right w:val="single" w:color="72CAC3" w:sz="4"/>
            </w:tcBorders>
            <w:shd w:fill="00A89D" w:val="clear"/>
            <w:tcMar>
              <w:top w:type="dxa" w:w="100"/>
              <w:left w:type="dxa" w:w="140"/>
              <w:bottom w:type="dxa" w:w="100"/>
              <w:right w:type="dxa" w:w="140"/>
            </w:tcMar>
          </w:tcPr>
          <w:p>
            <w:pPr>
              <w:jc w:val="center"/>
            </w:pPr>
            <w:r>
              <w:rPr>
                <w:rFonts w:ascii="Jost" w:cs="Jost" w:eastAsia="Jost" w:hAnsi="Jost"/>
                <w:b/>
                <w:bCs/>
                <w:color w:val="FFFFFF"/>
                <w:sz w:val="20"/>
                <w:szCs w:val="20"/>
              </w:rPr>
              <w:t xml:space="preserve">Solo Owner-Builder</w:t>
            </w:r>
          </w:p>
        </w:tc>
      </w:tr>
      <w:tr>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b/>
                <w:bCs/>
                <w:sz w:val="20"/>
                <w:szCs w:val="20"/>
              </w:rPr>
              <w:t xml:space="preserve">Builder markup</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10–20% of total build cost</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None — but no safety net either</w:t>
            </w:r>
          </w:p>
        </w:tc>
      </w:tr>
      <w:tr>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b/>
                <w:bCs/>
                <w:sz w:val="20"/>
                <w:szCs w:val="20"/>
              </w:rPr>
              <w:t xml:space="preserve">Your time investment</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Low — GC manages daily</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High — you manage everything</w:t>
            </w:r>
          </w:p>
        </w:tc>
      </w:tr>
      <w:tr>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b/>
                <w:bCs/>
                <w:sz w:val="20"/>
                <w:szCs w:val="20"/>
              </w:rPr>
              <w:t xml:space="preserve">Risk of costly mistakes</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Low — GC carries liability</w:t>
            </w:r>
          </w:p>
        </w:tc>
        <w:tc>
          <w:tcPr>
            <w:tcW w:type="dxa" w:w="3180"/>
            <w:tcBorders>
              <w:top w:val="single" w:color="72CAC3" w:sz="4"/>
              <w:left w:val="single" w:color="72CAC3" w:sz="4"/>
              <w:bottom w:val="single" w:color="72CAC3" w:sz="4"/>
              <w:right w:val="single" w:color="72CAC3" w:sz="4"/>
            </w:tcBorders>
            <w:tcMar>
              <w:top w:type="dxa" w:w="100"/>
              <w:left w:type="dxa" w:w="140"/>
              <w:bottom w:type="dxa" w:w="100"/>
              <w:right w:type="dxa" w:w="140"/>
            </w:tcMar>
          </w:tcPr>
          <w:p>
            <w:r>
              <w:rPr>
                <w:rFonts w:ascii="Jost" w:cs="Jost" w:eastAsia="Jost" w:hAnsi="Jost"/>
                <w:sz w:val="20"/>
                <w:szCs w:val="20"/>
              </w:rPr>
              <w:t xml:space="preserve">High — mistakes are yours alone</w:t>
            </w:r>
          </w:p>
        </w:tc>
      </w:tr>
      <w:tr>
        <w:tc>
          <w:tcPr>
            <w:tcW w:type="dxa" w:w="3180"/>
            <w:tcBorders>
              <w:top w:val="single" w:color="72CAC3" w:sz="4"/>
              <w:left w:val="single" w:color="72CAC3" w:sz="4"/>
              <w:bottom w:val="single" w:color="72CAC3" w:sz="4"/>
              <w:right w:val="single" w:color="72CAC3" w:sz="4"/>
            </w:tcBorders>
            <w:shd w:fill="F4E1BE" w:val="clear"/>
            <w:tcMar>
              <w:top w:type="dxa" w:w="100"/>
              <w:left w:type="dxa" w:w="140"/>
              <w:bottom w:type="dxa" w:w="100"/>
              <w:right w:type="dxa" w:w="140"/>
            </w:tcMar>
          </w:tcPr>
          <w:p>
            <w:r>
              <w:rPr>
                <w:rFonts w:ascii="Jost" w:cs="Jost" w:eastAsia="Jost" w:hAnsi="Jost"/>
                <w:b/>
                <w:bCs/>
                <w:color w:val="00A89D"/>
                <w:sz w:val="20"/>
                <w:szCs w:val="20"/>
              </w:rPr>
              <w:t xml:space="preserve">Owner-builder + consultant</w:t>
            </w:r>
          </w:p>
        </w:tc>
        <w:tc>
          <w:tcPr>
            <w:tcW w:type="dxa" w:w="3180"/>
            <w:gridSpan w:val="1"/>
            <w:tcBorders>
              <w:top w:val="single" w:color="72CAC3" w:sz="4"/>
              <w:left w:val="single" w:color="72CAC3" w:sz="4"/>
              <w:bottom w:val="single" w:color="72CAC3" w:sz="4"/>
              <w:right w:val="single" w:color="72CAC3" w:sz="4"/>
            </w:tcBorders>
            <w:shd w:fill="F4E1BE" w:val="clear"/>
            <w:tcMar>
              <w:top w:type="dxa" w:w="100"/>
              <w:left w:type="dxa" w:w="140"/>
              <w:bottom w:type="dxa" w:w="100"/>
              <w:right w:type="dxa" w:w="140"/>
            </w:tcMar>
          </w:tcPr>
          <w:p>
            <w:r>
              <w:rPr>
                <w:rFonts w:ascii="Jost" w:cs="Jost" w:eastAsia="Jost" w:hAnsi="Jost"/>
                <w:color w:val="00A89D"/>
                <w:sz w:val="20"/>
                <w:szCs w:val="20"/>
              </w:rPr>
              <w:t xml:space="preserve">Save most of the markup</w:t>
            </w:r>
          </w:p>
        </w:tc>
        <w:tc>
          <w:tcPr>
            <w:tcW w:type="dxa" w:w="3180"/>
            <w:tcBorders>
              <w:top w:val="single" w:color="72CAC3" w:sz="4"/>
              <w:left w:val="single" w:color="72CAC3" w:sz="4"/>
              <w:bottom w:val="single" w:color="72CAC3" w:sz="4"/>
              <w:right w:val="single" w:color="72CAC3" w:sz="4"/>
            </w:tcBorders>
            <w:shd w:fill="F4E1BE" w:val="clear"/>
            <w:tcMar>
              <w:top w:type="dxa" w:w="100"/>
              <w:left w:type="dxa" w:w="140"/>
              <w:bottom w:type="dxa" w:w="100"/>
              <w:right w:type="dxa" w:w="140"/>
            </w:tcMar>
          </w:tcPr>
          <w:p>
            <w:r>
              <w:rPr>
                <w:rFonts w:ascii="Jost" w:cs="Jost" w:eastAsia="Jost" w:hAnsi="Jost"/>
                <w:color w:val="00A89D"/>
                <w:sz w:val="20"/>
                <w:szCs w:val="20"/>
              </w:rPr>
              <w:t xml:space="preserve">Guided through the risk points</w:t>
            </w:r>
          </w:p>
        </w:tc>
      </w:tr>
    </w:tbl>
    <w:p>
      <w:pPr>
        <w:spacing w:before="160"/>
      </w:pP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4. Self-Assessment: Are You Ready to Owner-Build?</w:t>
      </w:r>
    </w:p>
    <w:p>
      <w:pPr>
        <w:spacing w:after="160" w:line="300"/>
      </w:pPr>
      <w:r>
        <w:rPr>
          <w:rFonts w:ascii="Jost" w:cs="Jost" w:eastAsia="Jost" w:hAnsi="Jost"/>
          <w:color w:val="231F20"/>
          <w:sz w:val="22"/>
          <w:szCs w:val="22"/>
        </w:rPr>
        <w:t xml:space="preserve">Be honest with yourself on each of these. The more boxes you check, the smoother your owner-build is likely to go — but every owner-builder benefits from support on the boxes they can't check.</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 have at least 10–15 hours a week to dedicate to managing my build</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 already have relationships with subcontractors, or I'm comfortable vetting new ones</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 understand how construction loan draw schedules work</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I'm comfortable reading and coordinating permit documents with my county</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 know the correct order of inspections required for my project</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 have a contingency fund of at least 10–15% beyond my build budget</w:t>
      </w:r>
    </w:p>
    <w:p>
      <w:pPr>
        <w:spacing w:after="120"/>
      </w:pPr>
      <w:r>
        <w:rPr>
          <w:rFonts w:ascii="Jost" w:cs="Jost" w:eastAsia="Jost" w:hAnsi="Jost"/>
          <w:color w:val="00A89D"/>
          <w:sz w:val="24"/>
          <w:szCs w:val="24"/>
        </w:rPr>
        <w:t xml:space="preserve">☐  </w:t>
      </w:r>
      <w:r>
        <w:rPr>
          <w:rFonts w:ascii="Jost" w:cs="Jost" w:eastAsia="Jost" w:hAnsi="Jost"/>
          <w:color w:val="231F20"/>
          <w:sz w:val="22"/>
          <w:szCs w:val="22"/>
        </w:rPr>
        <w:t xml:space="preserve">I'm prepared to be the point of contact for every subcontractor, every day</w:t>
      </w:r>
    </w:p>
    <w:p>
      <w:pPr>
        <w:spacing w:after="160" w:line="300"/>
      </w:pPr>
      <w:r>
        <w:rPr>
          <w:rFonts w:ascii="Jost" w:cs="Jost" w:eastAsia="Jost" w:hAnsi="Jost"/>
          <w:i/>
          <w:iCs/>
          <w:color w:val="00A89D"/>
          <w:sz w:val="22"/>
          <w:szCs w:val="22"/>
        </w:rPr>
        <w:t xml:space="preserve">If you checked fewer than five of these, that's not a red flag — it just means a guided owner-builder approach will save you from learning some of this the hard way.</w:t>
      </w:r>
    </w:p>
    <w:p>
      <w:pPr>
        <w:pStyle w:val="Heading1"/>
        <w:pBdr>
          <w:bottom w:val="single" w:color="F8A07E" w:sz="8" w:space="4"/>
        </w:pBdr>
        <w:spacing w:after="200" w:before="360"/>
      </w:pPr>
      <w:r>
        <w:rPr>
          <w:rFonts w:ascii="Cormorant Garamond" w:cs="Cormorant Garamond" w:eastAsia="Cormorant Garamond" w:hAnsi="Cormorant Garamond"/>
          <w:b/>
          <w:bCs/>
          <w:color w:val="00A89D"/>
          <w:sz w:val="32"/>
          <w:szCs w:val="32"/>
        </w:rPr>
        <w:t xml:space="preserve">5. How Palm Breeze Supports Owner-Builders</w:t>
      </w:r>
    </w:p>
    <w:p>
      <w:pPr>
        <w:spacing w:after="160" w:line="300"/>
      </w:pPr>
      <w:r>
        <w:rPr>
          <w:rFonts w:ascii="Jost" w:cs="Jost" w:eastAsia="Jost" w:hAnsi="Jost"/>
          <w:color w:val="231F20"/>
          <w:sz w:val="22"/>
          <w:szCs w:val="22"/>
        </w:rPr>
        <w:t xml:space="preserve">We're not here to take the project away from you. Our owner-builder consulting model is built specifically for people who want to keep control of their build while avoiding the mistakes that cost time and money.</w:t>
      </w:r>
    </w:p>
    <w:p>
      <w:pPr>
        <w:pStyle w:val="ListParagraph"/>
        <w:numPr>
          <w:ilvl w:val="0"/>
          <w:numId w:val="2"/>
        </w:numPr>
        <w:spacing w:after="100" w:line="280"/>
      </w:pPr>
      <w:r>
        <w:rPr>
          <w:rFonts w:ascii="Jost" w:cs="Jost" w:eastAsia="Jost" w:hAnsi="Jost"/>
          <w:color w:val="231F20"/>
          <w:sz w:val="22"/>
          <w:szCs w:val="22"/>
        </w:rPr>
        <w:t xml:space="preserve">Permit package review before you submit, so it's right the first time</w:t>
      </w:r>
    </w:p>
    <w:p>
      <w:pPr>
        <w:pStyle w:val="ListParagraph"/>
        <w:numPr>
          <w:ilvl w:val="0"/>
          <w:numId w:val="2"/>
        </w:numPr>
        <w:spacing w:after="100" w:line="280"/>
      </w:pPr>
      <w:r>
        <w:rPr>
          <w:rFonts w:ascii="Jost" w:cs="Jost" w:eastAsia="Jost" w:hAnsi="Jost"/>
          <w:color w:val="231F20"/>
          <w:sz w:val="22"/>
          <w:szCs w:val="22"/>
        </w:rPr>
        <w:t xml:space="preserve">Vetted subcontractor referrals from our existing network</w:t>
      </w:r>
    </w:p>
    <w:p>
      <w:pPr>
        <w:pStyle w:val="ListParagraph"/>
        <w:numPr>
          <w:ilvl w:val="0"/>
          <w:numId w:val="2"/>
        </w:numPr>
        <w:spacing w:after="100" w:line="280"/>
      </w:pPr>
      <w:r>
        <w:rPr>
          <w:rFonts w:ascii="Jost" w:cs="Jost" w:eastAsia="Jost" w:hAnsi="Jost"/>
          <w:color w:val="231F20"/>
          <w:sz w:val="22"/>
          <w:szCs w:val="22"/>
        </w:rPr>
        <w:t xml:space="preserve">Draw schedule and lender coordination support</w:t>
      </w:r>
    </w:p>
    <w:p>
      <w:pPr>
        <w:pStyle w:val="ListParagraph"/>
        <w:numPr>
          <w:ilvl w:val="0"/>
          <w:numId w:val="2"/>
        </w:numPr>
        <w:spacing w:after="100" w:line="280"/>
      </w:pPr>
      <w:r>
        <w:rPr>
          <w:rFonts w:ascii="Jost" w:cs="Jost" w:eastAsia="Jost" w:hAnsi="Jost"/>
          <w:color w:val="231F20"/>
          <w:sz w:val="22"/>
          <w:szCs w:val="22"/>
        </w:rPr>
        <w:t xml:space="preserve">Inspection sequencing guidance, county by county</w:t>
      </w:r>
    </w:p>
    <w:p>
      <w:pPr>
        <w:pStyle w:val="ListParagraph"/>
        <w:numPr>
          <w:ilvl w:val="0"/>
          <w:numId w:val="2"/>
        </w:numPr>
        <w:spacing w:after="100" w:line="280"/>
      </w:pPr>
      <w:r>
        <w:rPr>
          <w:rFonts w:ascii="Jost" w:cs="Jost" w:eastAsia="Jost" w:hAnsi="Jost"/>
          <w:color w:val="231F20"/>
          <w:sz w:val="22"/>
          <w:szCs w:val="22"/>
        </w:rPr>
        <w:t xml:space="preserve">A phased course portal walking you through Planning, Permitting &amp; Site Prep, and Construction</w:t>
      </w:r>
    </w:p>
    <w:p>
      <w:pPr>
        <w:spacing w:after="160" w:line="300"/>
      </w:pPr>
      <w:r>
        <w:rPr>
          <w:rFonts w:ascii="Jost" w:cs="Jost" w:eastAsia="Jost" w:hAnsi="Jost"/>
          <w:color w:val="231F20"/>
          <w:sz w:val="22"/>
          <w:szCs w:val="22"/>
        </w:rPr>
        <w:t xml:space="preserve">You stay the owner-builder of record. We just make sure you're never figuring out the hard parts alone.</w:t>
      </w:r>
    </w:p>
    <w:p>
      <w:pPr>
        <w:pBdr>
          <w:top w:val="single" w:color="F8A07E" w:sz="6" w:space="8"/>
          <w:bottom w:val="single" w:color="F8A07E" w:sz="6" w:space="8"/>
        </w:pBdr>
        <w:shd w:fill="F4E1BE" w:val="clear"/>
        <w:spacing w:after="200" w:before="400"/>
        <w:jc w:val="center"/>
      </w:pPr>
      <w:r>
        <w:rPr>
          <w:rFonts w:ascii="Cormorant Garamond" w:cs="Cormorant Garamond" w:eastAsia="Cormorant Garamond" w:hAnsi="Cormorant Garamond"/>
          <w:b/>
          <w:bCs/>
          <w:color w:val="00A89D"/>
          <w:sz w:val="30"/>
          <w:szCs w:val="30"/>
        </w:rPr>
        <w:t xml:space="preserve">Ready to talk through your project?</w:t>
      </w:r>
    </w:p>
    <w:p>
      <w:pPr>
        <w:shd w:fill="F4E1BE" w:val="clear"/>
        <w:spacing w:after="200"/>
        <w:jc w:val="center"/>
      </w:pPr>
      <w:r>
        <w:rPr>
          <w:rFonts w:ascii="Jost" w:cs="Jost" w:eastAsia="Jost" w:hAnsi="Jost"/>
          <w:color w:val="231F20"/>
          <w:sz w:val="22"/>
          <w:szCs w:val="22"/>
        </w:rPr>
        <w:t xml:space="preserve">Book a free consultation and we'll walk through your specific lot, timeline, and budget — no pressure, no obligation.</w:t>
      </w:r>
    </w:p>
    <w:p>
      <w:pPr>
        <w:shd w:fill="F4E1BE" w:val="clear"/>
        <w:spacing w:after="400"/>
        <w:jc w:val="center"/>
      </w:pPr>
      <w:hyperlink w:history="1" r:id="rIdwwjw8njqx798zalozwxpb">
        <w:r>
          <w:rPr>
            <w:rFonts w:ascii="Jost" w:cs="Jost" w:eastAsia="Jost" w:hAnsi="Jost"/>
            <w:b/>
            <w:bCs/>
            <w:color w:val="F8A07E"/>
            <w:sz w:val="24"/>
            <w:szCs w:val="24"/>
          </w:rPr>
          <w:t xml:space="preserve">Schedule Your Free Consultation →</w:t>
        </w:r>
      </w:hyperlink>
    </w:p>
    <w:p>
      <w:pPr>
        <w:jc w:val="center"/>
      </w:pPr>
      <w:r>
        <w:rPr>
          <w:rFonts w:ascii="Caveat" w:cs="Caveat" w:eastAsia="Caveat" w:hAnsi="Caveat"/>
          <w:color w:val="72CAC3"/>
          <w:sz w:val="32"/>
          <w:szCs w:val="32"/>
        </w:rPr>
        <w:t xml:space="preserve">Tasha &amp; the Palm Breeze team</w:t>
      </w:r>
    </w:p>
    <w:p>
      <w:pPr>
        <w:spacing w:before="300"/>
        <w:jc w:val="center"/>
      </w:pPr>
      <w:r>
        <w:rPr>
          <w:rFonts w:ascii="Jost" w:cs="Jost" w:eastAsia="Jost" w:hAnsi="Jost"/>
          <w:i/>
          <w:iCs/>
          <w:color w:val="4A4A4A"/>
          <w:sz w:val="20"/>
          <w:szCs w:val="20"/>
        </w:rPr>
        <w:t xml:space="preserve">P.S. Even if you decide owner-building isn't the right fit, this consultation will help you figure that out — for free.</w:t>
      </w:r>
    </w:p>
    <w:sectPr>
      <w:headerReference w:type="default" r:id="rId7"/>
      <w:footerReference w:type="default" r:id="rId8"/>
      <w:pgSz w:w="12240" w:h="15840" w:orient="portrait"/>
      <w:pgMar w:top="1080" w:right="1350" w:bottom="1080" w:left="13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Jost" w:cs="Jost" w:eastAsia="Jost" w:hAnsi="Jost"/>
        <w:color w:val="4A4A4A"/>
        <w:sz w:val="16"/>
        <w:szCs w:val="16"/>
      </w:rPr>
      <w:t xml:space="preserve">palmbreezebuilders.com</w:t>
    </w:r>
    <w:r>
      <w:rPr>
        <w:rFonts w:ascii="Jost" w:cs="Jost" w:eastAsia="Jost" w:hAnsi="Jost"/>
      </w:rPr>
      <w:t xml:space="preserve">	</w:t>
    </w:r>
    <w:r>
      <w:rPr>
        <w:rFonts w:ascii="Jost" w:cs="Jost" w:eastAsia="Jost" w:hAnsi="Jost"/>
        <w:color w:val="4A4A4A"/>
        <w:sz w:val="16"/>
        <w:szCs w:val="16"/>
      </w:rPr>
      <w:t xml:space="preserve">Page </w:t>
    </w:r>
    <w:r>
      <w:rPr>
        <w:rFonts w:ascii="Jost" w:cs="Jost" w:eastAsia="Jost" w:hAnsi="Jost"/>
        <w:color w:val="4A4A4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4E1BE" w:sz="4" w:space="4"/>
      </w:pBdr>
      <w:jc w:val="right"/>
    </w:pPr>
    <w:r>
      <w:rPr>
        <w:rFonts w:ascii="Jost" w:cs="Jost" w:eastAsia="Jost" w:hAnsi="Jost"/>
        <w:b/>
        <w:bCs/>
        <w:color w:val="00A89D"/>
        <w:spacing w:val="20"/>
        <w:sz w:val="16"/>
        <w:szCs w:val="16"/>
      </w:rPr>
      <w:t xml:space="preserve">PALM BREEZE BUILDERS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360"/>
      </w:pPr>
      <w:rPr>
        <w:b/>
        <w:bCs/>
        <w:color w:val="00A89D"/>
      </w:rPr>
    </w:lvl>
  </w:abstractNum>
  <w:abstractNum w:abstractNumId="3" w15:restartNumberingAfterBreak="0">
    <w:multiLevelType w:val="hybridMultilevel"/>
    <w:lvl w:ilvl="0" w15:tentative="1">
      <w:start w:val="1"/>
      <w:numFmt w:val="bullet"/>
      <w:lvlText w:val="•"/>
      <w:lvlJc w:val="left"/>
      <w:pPr>
        <w:ind w:left="460" w:hanging="360"/>
      </w:pPr>
      <w:rPr>
        <w:b/>
        <w:bCs/>
        <w:color w:val="F8A07E"/>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Jost" w:cs="Jost" w:eastAsia="Jost" w:hAnsi="Jost"/>
        <w:color w:val="231F2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wjw8njqx798zalozwxpb" Type="http://schemas.openxmlformats.org/officeDocument/2006/relationships/hyperlink" Target="https://palmbreezebuilders.app.clientclub.net"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2026-06-24T12:34:42.029Z</dcterms:created>
  <dcterms:modified xsi:type="dcterms:W3CDTF">2026-06-24T12:34:42.029Z</dcterms:modified>
</cp:coreProperties>
</file>

<file path=docProps/custom.xml><?xml version="1.0" encoding="utf-8"?>
<Properties xmlns="http://schemas.openxmlformats.org/officeDocument/2006/custom-properties" xmlns:vt="http://schemas.openxmlformats.org/officeDocument/2006/docPropsVTypes"/>
</file>